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5819F4C9"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proofErr w:type="gramStart"/>
      <w:r w:rsidRPr="005C2892">
        <w:rPr>
          <w:rFonts w:ascii="Arial" w:hAnsi="Arial" w:cs="Arial"/>
          <w:spacing w:val="-4"/>
        </w:rPr>
        <w:t>entered into</w:t>
      </w:r>
      <w:proofErr w:type="gramEnd"/>
      <w:r w:rsidRPr="005C2892">
        <w:rPr>
          <w:rFonts w:ascii="Arial" w:hAnsi="Arial" w:cs="Arial"/>
          <w:spacing w:val="-4"/>
        </w:rPr>
        <w:t xml:space="preserve">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3A7540FB" w14:textId="59393CCF" w:rsidR="00646FC8" w:rsidRPr="00646FC8" w:rsidRDefault="00646FC8" w:rsidP="00646FC8">
      <w:pPr>
        <w:spacing w:before="100" w:beforeAutospacing="1" w:after="100" w:afterAutospacing="1" w:line="259" w:lineRule="auto"/>
        <w:rPr>
          <w:rFonts w:ascii="Arial" w:hAnsi="Arial" w:cs="Arial"/>
        </w:rPr>
      </w:pPr>
      <w:r w:rsidRPr="00646FC8">
        <w:rPr>
          <w:rFonts w:ascii="Arial" w:hAnsi="Arial" w:cs="Arial"/>
          <w:b/>
          <w:bCs/>
        </w:rPr>
        <w:t>Request for Proposal #2025-060</w:t>
      </w:r>
      <w:r w:rsidRPr="00646FC8">
        <w:rPr>
          <w:rFonts w:ascii="Arial" w:hAnsi="Arial" w:cs="Arial"/>
        </w:rPr>
        <w:t xml:space="preserve"> Issue Date February 1</w:t>
      </w:r>
      <w:r w:rsidR="00A53271">
        <w:rPr>
          <w:rFonts w:ascii="Arial" w:hAnsi="Arial" w:cs="Arial"/>
        </w:rPr>
        <w:t>8</w:t>
      </w:r>
      <w:r w:rsidRPr="00646FC8">
        <w:rPr>
          <w:rFonts w:ascii="Arial" w:hAnsi="Arial" w:cs="Arial"/>
        </w:rPr>
        <w:t xml:space="preserve">, </w:t>
      </w:r>
      <w:proofErr w:type="gramStart"/>
      <w:r w:rsidRPr="00646FC8">
        <w:rPr>
          <w:rFonts w:ascii="Arial" w:hAnsi="Arial" w:cs="Arial"/>
        </w:rPr>
        <w:t>2025</w:t>
      </w:r>
      <w:proofErr w:type="gramEnd"/>
      <w:r w:rsidRPr="00646FC8">
        <w:rPr>
          <w:rFonts w:ascii="Arial" w:hAnsi="Arial" w:cs="Arial"/>
        </w:rPr>
        <w:t xml:space="preserve"> Titled </w:t>
      </w:r>
      <w:r w:rsidR="00A53271" w:rsidRPr="00A53271">
        <w:rPr>
          <w:rFonts w:ascii="Arial" w:hAnsi="Arial" w:cs="Arial"/>
          <w:b/>
          <w:bCs/>
        </w:rPr>
        <w:t xml:space="preserve">Third Party Administrator </w:t>
      </w:r>
      <w:r w:rsidRPr="00646FC8">
        <w:rPr>
          <w:rFonts w:ascii="Arial" w:hAnsi="Arial" w:cs="Arial"/>
          <w:b/>
          <w:bCs/>
        </w:rPr>
        <w:t xml:space="preserve">(TPA) Services Contractor’s Bid in Response to Request for Proposal #2025-060 </w:t>
      </w:r>
      <w:r w:rsidRPr="00646FC8">
        <w:rPr>
          <w:rFonts w:ascii="Arial" w:hAnsi="Arial" w:cs="Arial"/>
        </w:rPr>
        <w:t xml:space="preserve">Proposal Submission Date March </w:t>
      </w:r>
      <w:r w:rsidR="00A53271">
        <w:rPr>
          <w:rFonts w:ascii="Arial" w:hAnsi="Arial" w:cs="Arial"/>
        </w:rPr>
        <w:t>10</w:t>
      </w:r>
      <w:r w:rsidRPr="00646FC8">
        <w:rPr>
          <w:rFonts w:ascii="Arial" w:hAnsi="Arial" w:cs="Arial"/>
        </w:rPr>
        <w:t xml:space="preserve">, 2025 Titled </w:t>
      </w:r>
      <w:r w:rsidR="00A53271" w:rsidRPr="00A53271">
        <w:rPr>
          <w:rFonts w:ascii="Arial" w:hAnsi="Arial" w:cs="Arial"/>
          <w:b/>
          <w:bCs/>
        </w:rPr>
        <w:t>Third Party Administrator</w:t>
      </w:r>
      <w:r w:rsidRPr="00646FC8">
        <w:rPr>
          <w:rFonts w:ascii="Arial" w:hAnsi="Arial" w:cs="Arial"/>
          <w:b/>
          <w:bCs/>
          <w:color w:val="FF0000"/>
        </w:rPr>
        <w:t xml:space="preserve"> </w:t>
      </w:r>
      <w:r w:rsidRPr="00646FC8">
        <w:rPr>
          <w:rFonts w:ascii="Arial" w:hAnsi="Arial" w:cs="Arial"/>
          <w:b/>
          <w:bCs/>
        </w:rPr>
        <w:t>(TPA) Services</w:t>
      </w:r>
    </w:p>
    <w:p w14:paraId="641FCB3E" w14:textId="61670D87"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81EF55D" w14:textId="77777777" w:rsidR="000B28D4" w:rsidRPr="005C2892" w:rsidRDefault="000B28D4" w:rsidP="00306CB5">
      <w:pPr>
        <w:pStyle w:val="ListParagraph"/>
        <w:ind w:left="360"/>
        <w:jc w:val="both"/>
        <w:rPr>
          <w:rFonts w:ascii="Arial" w:hAnsi="Arial" w:cs="Arial"/>
        </w:rPr>
      </w:pPr>
    </w:p>
    <w:p w14:paraId="16B7CD79" w14:textId="61E09366"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w:t>
      </w:r>
      <w:r w:rsidR="00646FC8" w:rsidRPr="00646FC8">
        <w:rPr>
          <w:rFonts w:ascii="Arial" w:hAnsi="Arial" w:cs="Arial"/>
          <w:u w:val="single"/>
        </w:rPr>
        <w:t xml:space="preserve">January 1, </w:t>
      </w:r>
      <w:proofErr w:type="gramStart"/>
      <w:r w:rsidR="00646FC8" w:rsidRPr="00646FC8">
        <w:rPr>
          <w:rFonts w:ascii="Arial" w:hAnsi="Arial" w:cs="Arial"/>
          <w:u w:val="single"/>
        </w:rPr>
        <w:t>2026</w:t>
      </w:r>
      <w:proofErr w:type="gramEnd"/>
      <w:r w:rsidRPr="005C2892">
        <w:rPr>
          <w:rFonts w:ascii="Arial" w:hAnsi="Arial" w:cs="Arial"/>
        </w:rPr>
        <w:t xml:space="preserve"> and shall terminate on </w:t>
      </w:r>
      <w:r w:rsidR="00646FC8" w:rsidRPr="00646FC8">
        <w:rPr>
          <w:rFonts w:ascii="Arial" w:hAnsi="Arial" w:cs="Arial"/>
          <w:u w:val="single"/>
        </w:rPr>
        <w:t>December 31, 202</w:t>
      </w:r>
      <w:r w:rsidR="0083153E">
        <w:rPr>
          <w:rFonts w:ascii="Arial" w:hAnsi="Arial" w:cs="Arial"/>
          <w:u w:val="single"/>
        </w:rPr>
        <w:t>8</w:t>
      </w:r>
      <w:r w:rsidRPr="005C2892">
        <w:rPr>
          <w:rFonts w:ascii="Arial" w:hAnsi="Arial" w:cs="Arial"/>
        </w:rPr>
        <w:t>, unless terminated earli</w:t>
      </w:r>
      <w:r w:rsidR="00E76E47" w:rsidRPr="005C2892">
        <w:rPr>
          <w:rFonts w:ascii="Arial" w:hAnsi="Arial" w:cs="Arial"/>
        </w:rPr>
        <w:t xml:space="preserve">er as provided in this </w:t>
      </w:r>
      <w:r w:rsidR="00A003A4">
        <w:rPr>
          <w:rFonts w:ascii="Arial" w:hAnsi="Arial" w:cs="Arial"/>
        </w:rPr>
        <w:t>Agreement</w:t>
      </w:r>
      <w:r w:rsidR="00E76E47" w:rsidRPr="005C2892">
        <w:rPr>
          <w:rFonts w:ascii="Arial" w:hAnsi="Arial" w:cs="Arial"/>
        </w:rPr>
        <w:t xml:space="preserve"> with option for </w:t>
      </w:r>
      <w:r w:rsidR="00646FC8">
        <w:rPr>
          <w:rFonts w:ascii="Arial" w:hAnsi="Arial" w:cs="Arial"/>
        </w:rPr>
        <w:t xml:space="preserve">successive one (1) year periods </w:t>
      </w:r>
      <w:r w:rsidR="00E76E47" w:rsidRPr="005C2892">
        <w:rPr>
          <w:rFonts w:ascii="Arial" w:hAnsi="Arial" w:cs="Arial"/>
        </w:rPr>
        <w:t xml:space="preserve">upon the parties’ mutual </w:t>
      </w:r>
      <w:r w:rsidR="00343915">
        <w:rPr>
          <w:rFonts w:ascii="Arial" w:hAnsi="Arial" w:cs="Arial"/>
        </w:rPr>
        <w:t xml:space="preserve">written </w:t>
      </w:r>
      <w:r w:rsidR="00E76E47" w:rsidRPr="005C2892">
        <w:rPr>
          <w:rFonts w:ascii="Arial" w:hAnsi="Arial" w:cs="Arial"/>
        </w:rPr>
        <w:t>agreement.</w:t>
      </w:r>
      <w:r w:rsidR="00646FC8">
        <w:rPr>
          <w:rFonts w:ascii="Arial" w:hAnsi="Arial" w:cs="Arial"/>
        </w:rPr>
        <w:t xml:space="preserve">  </w:t>
      </w:r>
    </w:p>
    <w:p w14:paraId="245268E2" w14:textId="77777777" w:rsidR="000B28D4" w:rsidRPr="005C2892" w:rsidRDefault="000B28D4" w:rsidP="000B28D4">
      <w:pPr>
        <w:pStyle w:val="ListParagraph"/>
        <w:rPr>
          <w:rFonts w:ascii="Arial" w:hAnsi="Arial" w:cs="Arial"/>
        </w:rPr>
      </w:pPr>
    </w:p>
    <w:p w14:paraId="3EC71358" w14:textId="757C46C4" w:rsidR="0038074F" w:rsidRPr="00FA2F88" w:rsidRDefault="000B28D4" w:rsidP="00FA2F88">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r w:rsidR="0038074F" w:rsidRPr="00FA2F88">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072B93B7" w14:textId="77777777" w:rsidR="00A762D8" w:rsidRPr="005C2892" w:rsidRDefault="00A762D8" w:rsidP="00AF24CC">
      <w:pPr>
        <w:rPr>
          <w:rFonts w:ascii="Arial" w:hAnsi="Arial" w:cs="Arial"/>
        </w:rPr>
      </w:pPr>
    </w:p>
    <w:p w14:paraId="2DCE9A5D" w14:textId="2FF29028"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Termination</w:t>
      </w:r>
      <w:r w:rsidRPr="005C2892">
        <w:rPr>
          <w:rFonts w:ascii="Arial" w:hAnsi="Arial" w:cs="Arial"/>
          <w:b/>
          <w:bCs/>
        </w:rPr>
        <w:t>:</w:t>
      </w:r>
      <w:r w:rsidRPr="005C2892">
        <w:rPr>
          <w:rFonts w:ascii="Arial" w:hAnsi="Arial" w:cs="Arial"/>
        </w:rPr>
        <w:t xml:space="preserve"> </w:t>
      </w:r>
      <w:r w:rsidR="00A92535" w:rsidRPr="009E5CB2">
        <w:rPr>
          <w:rFonts w:ascii="Arial" w:hAnsi="Arial" w:cs="Arial"/>
          <w:shd w:val="clear" w:color="auto" w:fill="FFFFFF"/>
        </w:rPr>
        <w:t xml:space="preserve">The </w:t>
      </w:r>
      <w:r w:rsidR="00A92535" w:rsidRPr="009E5CB2">
        <w:rPr>
          <w:rFonts w:ascii="Arial" w:hAnsi="Arial" w:cs="Arial"/>
          <w:b/>
          <w:shd w:val="clear" w:color="auto" w:fill="FFFFFF"/>
        </w:rPr>
        <w:t xml:space="preserve">Agreement </w:t>
      </w:r>
      <w:r w:rsidR="00A92535" w:rsidRPr="009E5CB2">
        <w:rPr>
          <w:rFonts w:ascii="Arial" w:hAnsi="Arial" w:cs="Arial"/>
          <w:shd w:val="clear" w:color="auto" w:fill="FFFFFF"/>
        </w:rPr>
        <w:t xml:space="preserve">may </w:t>
      </w:r>
      <w:r w:rsidR="00A92535" w:rsidRPr="005C2892">
        <w:rPr>
          <w:rFonts w:ascii="Arial" w:hAnsi="Arial" w:cs="Arial"/>
          <w:color w:val="222222"/>
          <w:shd w:val="clear" w:color="auto" w:fill="FFFFFF"/>
        </w:rPr>
        <w:t xml:space="preserve">be terminated by the University in whole, or in part, whenever for any reason the University shall determine that such termination is in the best interest of the University. Any such termination shall be </w:t>
      </w:r>
      <w:r w:rsidR="004277EE">
        <w:rPr>
          <w:rFonts w:ascii="Arial" w:hAnsi="Arial" w:cs="Arial"/>
          <w:color w:val="222222"/>
          <w:shd w:val="clear" w:color="auto" w:fill="FFFFFF"/>
        </w:rPr>
        <w:t>a</w:t>
      </w:r>
      <w:r w:rsidR="00A92535" w:rsidRPr="005C2892">
        <w:rPr>
          <w:rFonts w:ascii="Arial" w:hAnsi="Arial" w:cs="Arial"/>
          <w:color w:val="222222"/>
          <w:shd w:val="clear" w:color="auto" w:fill="FFFFFF"/>
        </w:rPr>
        <w:t>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w:t>
      </w:r>
      <w:r w:rsidRPr="005C2892">
        <w:rPr>
          <w:rFonts w:ascii="Arial" w:hAnsi="Arial" w:cs="Arial"/>
        </w:rPr>
        <w:lastRenderedPageBreak/>
        <w:t>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5E527CE3"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A53271" w:rsidRPr="00A53271">
        <w:rPr>
          <w:rFonts w:ascii="Arial" w:hAnsi="Arial" w:cs="Arial"/>
          <w:u w:val="single"/>
        </w:rPr>
        <w:t>Tracy Elliott and</w:t>
      </w:r>
      <w:r w:rsidR="00A53271">
        <w:rPr>
          <w:rFonts w:ascii="Arial" w:hAnsi="Arial" w:cs="Arial"/>
        </w:rPr>
        <w:t xml:space="preserve"> </w:t>
      </w:r>
      <w:r w:rsidR="009E5CB2" w:rsidRPr="009E5CB2">
        <w:rPr>
          <w:rFonts w:ascii="Arial" w:hAnsi="Arial" w:cs="Arial"/>
          <w:u w:val="single"/>
        </w:rPr>
        <w:t>Amie Parker</w:t>
      </w:r>
      <w:r w:rsidR="009E5CB2">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lastRenderedPageBreak/>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proofErr w:type="spellStart"/>
      <w:r>
        <w:rPr>
          <w:rFonts w:ascii="Arial" w:hAnsi="Arial" w:cs="Arial"/>
        </w:rPr>
        <w:t>EMail</w:t>
      </w:r>
      <w:proofErr w:type="spellEnd"/>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4E379321" w14:textId="77777777" w:rsidR="00FA6253" w:rsidRPr="006950B9" w:rsidRDefault="00FA6253" w:rsidP="00FA6253">
      <w:pPr>
        <w:shd w:val="clear" w:color="auto" w:fill="FFFFFF"/>
        <w:ind w:left="720"/>
        <w:rPr>
          <w:rFonts w:ascii="Arial" w:hAnsi="Arial" w:cs="Arial"/>
        </w:rPr>
      </w:pPr>
      <w:bookmarkStart w:id="1" w:name="_Hlk89435775"/>
      <w:r w:rsidRPr="006950B9">
        <w:rPr>
          <w:rFonts w:ascii="Arial" w:hAnsi="Arial" w:cs="Arial"/>
        </w:rPr>
        <w:t>University of Maine System</w:t>
      </w:r>
    </w:p>
    <w:p w14:paraId="45142F9B" w14:textId="77777777" w:rsidR="00FA6253" w:rsidRPr="006950B9" w:rsidRDefault="00FA6253" w:rsidP="00FA6253">
      <w:pPr>
        <w:shd w:val="clear" w:color="auto" w:fill="FFFFFF"/>
        <w:ind w:left="720"/>
        <w:rPr>
          <w:rFonts w:ascii="Arial" w:hAnsi="Arial" w:cs="Arial"/>
        </w:rPr>
      </w:pPr>
      <w:r w:rsidRPr="006950B9">
        <w:rPr>
          <w:rFonts w:ascii="Arial" w:hAnsi="Arial" w:cs="Arial"/>
        </w:rPr>
        <w:t>Accounts Payable</w:t>
      </w:r>
    </w:p>
    <w:p w14:paraId="068F3008" w14:textId="6DBBAE3A" w:rsidR="00FA6253" w:rsidRDefault="00E75951" w:rsidP="00FA6253">
      <w:pPr>
        <w:shd w:val="clear" w:color="auto" w:fill="FFFFFF"/>
        <w:ind w:left="720"/>
        <w:rPr>
          <w:rFonts w:ascii="Arial" w:hAnsi="Arial" w:cs="Arial"/>
          <w:lang w:val="es-ES"/>
        </w:rPr>
      </w:pPr>
      <w:r>
        <w:rPr>
          <w:rFonts w:ascii="Arial" w:hAnsi="Arial" w:cs="Arial"/>
          <w:lang w:val="es-ES"/>
        </w:rPr>
        <w:t>PO BOX 3955</w:t>
      </w:r>
    </w:p>
    <w:p w14:paraId="2F86EE6D" w14:textId="520C332D" w:rsidR="00E75951" w:rsidRPr="00AE3F7E" w:rsidRDefault="00E75951" w:rsidP="00FA6253">
      <w:pPr>
        <w:shd w:val="clear" w:color="auto" w:fill="FFFFFF"/>
        <w:ind w:left="720"/>
        <w:rPr>
          <w:rFonts w:ascii="Arial" w:hAnsi="Arial" w:cs="Arial"/>
          <w:lang w:val="es-ES"/>
        </w:rPr>
      </w:pPr>
      <w:r>
        <w:rPr>
          <w:rFonts w:ascii="Arial" w:hAnsi="Arial" w:cs="Arial"/>
          <w:lang w:val="es-ES"/>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10C80000" w14:textId="77777777" w:rsidR="00FA2F88" w:rsidRDefault="00A003A4" w:rsidP="00FA2F88">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2143B4B7" w14:textId="7B7EF01E" w:rsidR="00FA2F88" w:rsidRPr="00646FC8" w:rsidRDefault="00FA2F88" w:rsidP="00FA2F88">
      <w:pPr>
        <w:pStyle w:val="ListParagraph"/>
        <w:numPr>
          <w:ilvl w:val="1"/>
          <w:numId w:val="1"/>
        </w:numPr>
        <w:spacing w:before="100" w:beforeAutospacing="1" w:after="100" w:afterAutospacing="1" w:line="259" w:lineRule="auto"/>
        <w:rPr>
          <w:rFonts w:ascii="Arial" w:hAnsi="Arial" w:cs="Arial"/>
        </w:rPr>
      </w:pPr>
      <w:r w:rsidRPr="00646FC8">
        <w:rPr>
          <w:rFonts w:ascii="Arial" w:hAnsi="Arial" w:cs="Arial"/>
          <w:b/>
          <w:bCs/>
        </w:rPr>
        <w:t>Request for Proposal #2025-0</w:t>
      </w:r>
      <w:r w:rsidR="00646FC8" w:rsidRPr="00646FC8">
        <w:rPr>
          <w:rFonts w:ascii="Arial" w:hAnsi="Arial" w:cs="Arial"/>
          <w:b/>
          <w:bCs/>
        </w:rPr>
        <w:t>60</w:t>
      </w:r>
      <w:r w:rsidRPr="00646FC8">
        <w:rPr>
          <w:rFonts w:ascii="Arial" w:hAnsi="Arial" w:cs="Arial"/>
        </w:rPr>
        <w:t xml:space="preserve"> Issue Date </w:t>
      </w:r>
      <w:r w:rsidR="00646FC8" w:rsidRPr="00646FC8">
        <w:rPr>
          <w:rFonts w:ascii="Arial" w:hAnsi="Arial" w:cs="Arial"/>
        </w:rPr>
        <w:t>February 1</w:t>
      </w:r>
      <w:r w:rsidR="00850697">
        <w:rPr>
          <w:rFonts w:ascii="Arial" w:hAnsi="Arial" w:cs="Arial"/>
        </w:rPr>
        <w:t>8</w:t>
      </w:r>
      <w:r w:rsidR="00646FC8" w:rsidRPr="00646FC8">
        <w:rPr>
          <w:rFonts w:ascii="Arial" w:hAnsi="Arial" w:cs="Arial"/>
        </w:rPr>
        <w:t xml:space="preserve">, </w:t>
      </w:r>
      <w:proofErr w:type="gramStart"/>
      <w:r w:rsidR="00646FC8" w:rsidRPr="00646FC8">
        <w:rPr>
          <w:rFonts w:ascii="Arial" w:hAnsi="Arial" w:cs="Arial"/>
        </w:rPr>
        <w:t>2025</w:t>
      </w:r>
      <w:proofErr w:type="gramEnd"/>
      <w:r w:rsidRPr="00646FC8">
        <w:rPr>
          <w:rFonts w:ascii="Arial" w:hAnsi="Arial" w:cs="Arial"/>
        </w:rPr>
        <w:t xml:space="preserve"> </w:t>
      </w:r>
      <w:r w:rsidR="00646FC8" w:rsidRPr="00646FC8">
        <w:rPr>
          <w:rFonts w:ascii="Arial" w:hAnsi="Arial" w:cs="Arial"/>
        </w:rPr>
        <w:t xml:space="preserve">Titled </w:t>
      </w:r>
      <w:r w:rsidR="00A53271" w:rsidRPr="00A53271">
        <w:rPr>
          <w:rFonts w:ascii="Arial" w:hAnsi="Arial" w:cs="Arial"/>
          <w:b/>
          <w:bCs/>
        </w:rPr>
        <w:t>Third Party Administrator</w:t>
      </w:r>
      <w:r w:rsidR="00646FC8" w:rsidRPr="00646FC8">
        <w:rPr>
          <w:rFonts w:ascii="Arial" w:hAnsi="Arial" w:cs="Arial"/>
          <w:b/>
          <w:bCs/>
          <w:color w:val="C00000"/>
        </w:rPr>
        <w:t xml:space="preserve"> </w:t>
      </w:r>
      <w:r w:rsidR="00646FC8" w:rsidRPr="00646FC8">
        <w:rPr>
          <w:rFonts w:ascii="Arial" w:hAnsi="Arial" w:cs="Arial"/>
          <w:b/>
          <w:bCs/>
        </w:rPr>
        <w:t xml:space="preserve">(TPA) Services </w:t>
      </w:r>
      <w:r w:rsidRPr="00646FC8">
        <w:rPr>
          <w:rFonts w:ascii="Arial" w:hAnsi="Arial" w:cs="Arial"/>
          <w:b/>
          <w:bCs/>
        </w:rPr>
        <w:t>Contractor’s Bid in Response to Request for Proposal #2025-0</w:t>
      </w:r>
      <w:r w:rsidR="00646FC8" w:rsidRPr="00646FC8">
        <w:rPr>
          <w:rFonts w:ascii="Arial" w:hAnsi="Arial" w:cs="Arial"/>
          <w:b/>
          <w:bCs/>
        </w:rPr>
        <w:t>60</w:t>
      </w:r>
      <w:r w:rsidRPr="00646FC8">
        <w:rPr>
          <w:rFonts w:ascii="Arial" w:hAnsi="Arial" w:cs="Arial"/>
          <w:b/>
          <w:bCs/>
        </w:rPr>
        <w:t xml:space="preserve"> </w:t>
      </w:r>
      <w:r w:rsidRPr="00646FC8">
        <w:rPr>
          <w:rFonts w:ascii="Arial" w:hAnsi="Arial" w:cs="Arial"/>
        </w:rPr>
        <w:t xml:space="preserve">Proposal Submission Date </w:t>
      </w:r>
      <w:r w:rsidR="00646FC8" w:rsidRPr="00646FC8">
        <w:rPr>
          <w:rFonts w:ascii="Arial" w:hAnsi="Arial" w:cs="Arial"/>
        </w:rPr>
        <w:t xml:space="preserve">March </w:t>
      </w:r>
      <w:r w:rsidR="00850697">
        <w:rPr>
          <w:rFonts w:ascii="Arial" w:hAnsi="Arial" w:cs="Arial"/>
        </w:rPr>
        <w:t>10</w:t>
      </w:r>
      <w:r w:rsidR="00646FC8" w:rsidRPr="00646FC8">
        <w:rPr>
          <w:rFonts w:ascii="Arial" w:hAnsi="Arial" w:cs="Arial"/>
        </w:rPr>
        <w:t>, 2025</w:t>
      </w:r>
      <w:r w:rsidRPr="00646FC8">
        <w:rPr>
          <w:rFonts w:ascii="Arial" w:hAnsi="Arial" w:cs="Arial"/>
        </w:rPr>
        <w:t xml:space="preserve"> Titled </w:t>
      </w:r>
      <w:r w:rsidR="00A53271" w:rsidRPr="00A53271">
        <w:rPr>
          <w:rFonts w:ascii="Arial" w:hAnsi="Arial" w:cs="Arial"/>
          <w:b/>
          <w:bCs/>
        </w:rPr>
        <w:t>Third Party Administrator</w:t>
      </w:r>
      <w:r w:rsidR="00646FC8" w:rsidRPr="00646FC8">
        <w:rPr>
          <w:rFonts w:ascii="Arial" w:hAnsi="Arial" w:cs="Arial"/>
          <w:b/>
          <w:bCs/>
          <w:color w:val="FF0000"/>
        </w:rPr>
        <w:t xml:space="preserve"> </w:t>
      </w:r>
      <w:r w:rsidR="00646FC8" w:rsidRPr="00646FC8">
        <w:rPr>
          <w:rFonts w:ascii="Arial" w:hAnsi="Arial" w:cs="Arial"/>
          <w:b/>
          <w:bCs/>
        </w:rPr>
        <w:t>(TPA</w:t>
      </w:r>
      <w:r w:rsidRPr="00646FC8">
        <w:rPr>
          <w:rFonts w:ascii="Arial" w:hAnsi="Arial" w:cs="Arial"/>
          <w:b/>
          <w:bCs/>
        </w:rPr>
        <w:t>) Services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2582057D" w14:textId="31E4F4BC" w:rsidR="00AC649D" w:rsidRPr="00AC649D" w:rsidRDefault="00AC649D" w:rsidP="00AC649D">
      <w:pPr>
        <w:pStyle w:val="ListParagraph"/>
        <w:numPr>
          <w:ilvl w:val="0"/>
          <w:numId w:val="1"/>
        </w:numPr>
        <w:rPr>
          <w:rFonts w:ascii="Arial" w:hAnsi="Arial" w:cs="Arial"/>
          <w:b/>
          <w:bCs/>
        </w:rPr>
      </w:pPr>
      <w:bookmarkStart w:id="2" w:name="_Hlk190186271"/>
      <w:r w:rsidRPr="00AC649D">
        <w:rPr>
          <w:rFonts w:ascii="Arial" w:hAnsi="Arial" w:cs="Arial"/>
          <w:b/>
          <w:bCs/>
        </w:rPr>
        <w:t>DATA RIGHTS AND ACCESS</w:t>
      </w:r>
    </w:p>
    <w:p w14:paraId="08195A1D" w14:textId="77777777" w:rsidR="00AC649D" w:rsidRPr="00AC649D" w:rsidRDefault="00AC649D" w:rsidP="00AC649D">
      <w:pPr>
        <w:ind w:left="360"/>
        <w:jc w:val="both"/>
        <w:rPr>
          <w:rFonts w:ascii="Arial" w:hAnsi="Arial" w:cs="Arial"/>
        </w:rPr>
      </w:pPr>
      <w:r w:rsidRPr="00AC649D">
        <w:rPr>
          <w:rFonts w:ascii="Arial" w:hAnsi="Arial" w:cs="Arial"/>
        </w:rPr>
        <w:t xml:space="preserve">All </w:t>
      </w:r>
      <w:proofErr w:type="gramStart"/>
      <w:r w:rsidRPr="00AC649D">
        <w:rPr>
          <w:rFonts w:ascii="Arial" w:hAnsi="Arial" w:cs="Arial"/>
        </w:rPr>
        <w:t>claims</w:t>
      </w:r>
      <w:proofErr w:type="gramEnd"/>
      <w:r w:rsidRPr="00AC649D">
        <w:rPr>
          <w:rFonts w:ascii="Arial" w:hAnsi="Arial" w:cs="Arial"/>
        </w:rPr>
        <w:t xml:space="preserve"> data and records—defined as Purchaser’s complete, individual, unredacted data, including pre-processed claims, post-processed claims, and clinical data—are at all times the sole property of the plan sponsor, and the plan sponsor has the right to (1) possession and use of claims records during the term of the contract and (2) maintain claims records following contract termination. No limitations on how the plan sponsor can use or share its data for its own treatment, payment, and health care operations (e.g., gag orders) are permitted on any claims data or materials derived from claims data.</w:t>
      </w:r>
    </w:p>
    <w:p w14:paraId="4FA2CBDF" w14:textId="77777777" w:rsidR="00AC649D" w:rsidRPr="00AC649D" w:rsidRDefault="00AC649D" w:rsidP="00AC649D">
      <w:pPr>
        <w:ind w:left="360"/>
        <w:jc w:val="both"/>
        <w:rPr>
          <w:rFonts w:ascii="Arial" w:hAnsi="Arial" w:cs="Arial"/>
        </w:rPr>
      </w:pPr>
    </w:p>
    <w:p w14:paraId="337412D6" w14:textId="77777777" w:rsidR="00AC649D" w:rsidRPr="00AC649D" w:rsidRDefault="00AC649D" w:rsidP="00AC649D">
      <w:pPr>
        <w:ind w:left="360"/>
        <w:jc w:val="both"/>
        <w:rPr>
          <w:rFonts w:ascii="Arial" w:hAnsi="Arial" w:cs="Arial"/>
        </w:rPr>
      </w:pPr>
      <w:r w:rsidRPr="00AC649D">
        <w:rPr>
          <w:rFonts w:ascii="Arial" w:hAnsi="Arial" w:cs="Arial"/>
        </w:rPr>
        <w:t>The TPA commits to share with the University’s contracted vendors, consultants, data warehouse companies, and other partners identified by the University all data/data extracts requested by the University—including the set-up and ongoing maintenance of the interfaces to securely send data file feeds to the University’s designated partners—at a frequency determined by the University, either at no charge or with fees that do not exceed the direct expenses properly and actually incurred by the TPA in providing the data to the University or its vendors, consultants, data warehouse companies, or other partners.</w:t>
      </w:r>
    </w:p>
    <w:p w14:paraId="07037A01" w14:textId="77777777" w:rsidR="00AC649D" w:rsidRPr="00AC649D" w:rsidRDefault="00AC649D" w:rsidP="00AC649D">
      <w:pPr>
        <w:ind w:left="360"/>
        <w:jc w:val="both"/>
        <w:rPr>
          <w:rFonts w:ascii="Arial" w:hAnsi="Arial" w:cs="Arial"/>
        </w:rPr>
      </w:pPr>
    </w:p>
    <w:p w14:paraId="2B6C3F2C" w14:textId="77777777" w:rsidR="00AC649D" w:rsidRDefault="00AC649D" w:rsidP="00AC649D">
      <w:pPr>
        <w:ind w:left="360"/>
        <w:jc w:val="both"/>
        <w:rPr>
          <w:rFonts w:ascii="Arial" w:hAnsi="Arial" w:cs="Arial"/>
        </w:rPr>
      </w:pPr>
      <w:r w:rsidRPr="00AC649D">
        <w:rPr>
          <w:rFonts w:ascii="Arial" w:hAnsi="Arial" w:cs="Arial"/>
        </w:rPr>
        <w:t xml:space="preserve">No allowances or rights enumerated in this contract shall be invalidated, obstructed, or otherwise circumvented by the TPA’s (or the TPA’s partners’, affiliates’, or subsidiaries’) Data Use Agreements </w:t>
      </w:r>
      <w:r w:rsidRPr="00AC649D">
        <w:rPr>
          <w:rFonts w:ascii="Arial" w:hAnsi="Arial" w:cs="Arial"/>
        </w:rPr>
        <w:lastRenderedPageBreak/>
        <w:t>(DUAs) and/or Non-Disclosure Agreements (NDAs) with the plan sponsor and/or any of the plan sponsor’s partners. Nor shall data be restricted by defining it as proprietary.</w:t>
      </w:r>
    </w:p>
    <w:p w14:paraId="7230071F" w14:textId="77777777" w:rsidR="00AC649D" w:rsidRDefault="00AC649D" w:rsidP="00AC649D">
      <w:pPr>
        <w:ind w:left="360"/>
        <w:jc w:val="both"/>
        <w:rPr>
          <w:rFonts w:ascii="Arial" w:hAnsi="Arial" w:cs="Arial"/>
        </w:rPr>
      </w:pPr>
    </w:p>
    <w:p w14:paraId="2D24E57D" w14:textId="3C2CDF82" w:rsidR="00AC649D" w:rsidRPr="00AC649D" w:rsidRDefault="00AC649D" w:rsidP="00AC649D">
      <w:pPr>
        <w:pStyle w:val="ListParagraph"/>
        <w:numPr>
          <w:ilvl w:val="0"/>
          <w:numId w:val="1"/>
        </w:numPr>
        <w:jc w:val="both"/>
        <w:rPr>
          <w:rFonts w:ascii="Arial" w:hAnsi="Arial" w:cs="Arial"/>
          <w:b/>
          <w:bCs/>
        </w:rPr>
      </w:pPr>
      <w:r w:rsidRPr="00AC649D">
        <w:rPr>
          <w:rFonts w:ascii="Arial" w:hAnsi="Arial" w:cs="Arial"/>
          <w:b/>
          <w:bCs/>
        </w:rPr>
        <w:t>DATA USE &amp; SHARING</w:t>
      </w:r>
    </w:p>
    <w:p w14:paraId="7B84C067" w14:textId="77777777" w:rsidR="00AC649D" w:rsidRPr="00AC649D" w:rsidRDefault="00AC649D" w:rsidP="00AC649D">
      <w:pPr>
        <w:ind w:left="360"/>
        <w:jc w:val="both"/>
        <w:rPr>
          <w:rFonts w:ascii="Arial" w:hAnsi="Arial" w:cs="Arial"/>
        </w:rPr>
      </w:pPr>
      <w:r w:rsidRPr="00AC649D">
        <w:rPr>
          <w:rFonts w:ascii="Arial" w:hAnsi="Arial" w:cs="Arial"/>
        </w:rPr>
        <w:t xml:space="preserve">There will be no limitations on how the plan sponsor or its vendors/consultants/data warehouse companies/partners </w:t>
      </w:r>
      <w:r w:rsidRPr="00AC649D">
        <w:rPr>
          <w:rFonts w:ascii="Arial" w:hAnsi="Arial" w:cs="Arial"/>
          <w:u w:val="single"/>
        </w:rPr>
        <w:t xml:space="preserve">use </w:t>
      </w:r>
      <w:r w:rsidRPr="00AC649D">
        <w:rPr>
          <w:rFonts w:ascii="Arial" w:hAnsi="Arial" w:cs="Arial"/>
        </w:rPr>
        <w:t xml:space="preserve">or </w:t>
      </w:r>
      <w:r w:rsidRPr="00AC649D">
        <w:rPr>
          <w:rFonts w:ascii="Arial" w:hAnsi="Arial" w:cs="Arial"/>
          <w:u w:val="single"/>
        </w:rPr>
        <w:t xml:space="preserve">share </w:t>
      </w:r>
      <w:r w:rsidRPr="00AC649D">
        <w:rPr>
          <w:rFonts w:ascii="Arial" w:hAnsi="Arial" w:cs="Arial"/>
        </w:rPr>
        <w:t>the plan sponsor’s claims, data, or data extracts, other than as required by HIPAA—for example, full access cannot be limited through confidentiality requirements (including, but not limited to confidentiality requirements in TPA’s provider contracts) that prohibit utilization of any data or through designation of such data as proprietary by the TPA.</w:t>
      </w:r>
    </w:p>
    <w:p w14:paraId="2ED62103" w14:textId="77777777" w:rsidR="00AC649D" w:rsidRPr="00AC649D" w:rsidRDefault="00AC649D" w:rsidP="00AC649D">
      <w:pPr>
        <w:jc w:val="both"/>
        <w:rPr>
          <w:rFonts w:ascii="Arial" w:hAnsi="Arial" w:cs="Arial"/>
        </w:rPr>
      </w:pPr>
    </w:p>
    <w:p w14:paraId="695376F7" w14:textId="77777777" w:rsidR="00AC649D" w:rsidRPr="00AC649D" w:rsidRDefault="00AC649D" w:rsidP="00AC649D">
      <w:pPr>
        <w:pStyle w:val="ListParagraph"/>
        <w:numPr>
          <w:ilvl w:val="0"/>
          <w:numId w:val="1"/>
        </w:numPr>
        <w:jc w:val="both"/>
        <w:rPr>
          <w:rFonts w:ascii="Arial" w:hAnsi="Arial" w:cs="Arial"/>
          <w:b/>
          <w:bCs/>
        </w:rPr>
      </w:pPr>
      <w:r w:rsidRPr="00AC649D">
        <w:rPr>
          <w:rFonts w:ascii="Arial" w:hAnsi="Arial" w:cs="Arial"/>
          <w:b/>
          <w:bCs/>
        </w:rPr>
        <w:t>MARKET CHECK DATA</w:t>
      </w:r>
    </w:p>
    <w:p w14:paraId="6026AB08" w14:textId="4DDB18CE" w:rsidR="00AC649D" w:rsidRDefault="00AC649D" w:rsidP="00AC649D">
      <w:pPr>
        <w:pStyle w:val="ListParagraph"/>
        <w:ind w:left="360"/>
        <w:jc w:val="both"/>
        <w:rPr>
          <w:rFonts w:ascii="Arial" w:hAnsi="Arial" w:cs="Arial"/>
        </w:rPr>
      </w:pPr>
      <w:r w:rsidRPr="00AC649D">
        <w:rPr>
          <w:rFonts w:ascii="Arial" w:hAnsi="Arial" w:cs="Arial"/>
        </w:rPr>
        <w:t xml:space="preserve">The plan sponsor and its vendors, consultants, data warehouse companies, and other partners do not need prior approval from the TPA or any of the TPA’s subcontractors to use its data—or other work product associated with this contract—for any purpose other than as required by HIPAA. The plan sponsor and its vendors, consultants, data warehouse companies, and other partners are not prohibited from utilizing claims data to conduct market checks or to facilitate analyses by another company which may provide services </w:t>
      </w:r>
      <w:proofErr w:type="gramStart"/>
      <w:r w:rsidRPr="00AC649D">
        <w:rPr>
          <w:rFonts w:ascii="Arial" w:hAnsi="Arial" w:cs="Arial"/>
        </w:rPr>
        <w:t>similar to</w:t>
      </w:r>
      <w:proofErr w:type="gramEnd"/>
      <w:r w:rsidRPr="00AC649D">
        <w:rPr>
          <w:rFonts w:ascii="Arial" w:hAnsi="Arial" w:cs="Arial"/>
        </w:rPr>
        <w:t xml:space="preserve"> those offered by the TPA, or by its subcontractors or other vendors. </w:t>
      </w:r>
    </w:p>
    <w:p w14:paraId="2ED3B245" w14:textId="77777777" w:rsidR="00AC649D" w:rsidRDefault="00AC649D" w:rsidP="00AC649D">
      <w:pPr>
        <w:pStyle w:val="ListParagraph"/>
        <w:ind w:left="360"/>
        <w:jc w:val="both"/>
        <w:rPr>
          <w:rFonts w:ascii="Arial" w:hAnsi="Arial" w:cs="Arial"/>
        </w:rPr>
      </w:pPr>
    </w:p>
    <w:p w14:paraId="40110E91" w14:textId="77777777" w:rsidR="00AC649D" w:rsidRDefault="00AC649D" w:rsidP="00AC649D">
      <w:pPr>
        <w:pStyle w:val="ListParagraph"/>
        <w:numPr>
          <w:ilvl w:val="0"/>
          <w:numId w:val="1"/>
        </w:numPr>
        <w:rPr>
          <w:rFonts w:ascii="Arial" w:hAnsi="Arial" w:cs="Arial"/>
          <w:b/>
          <w:bCs/>
        </w:rPr>
      </w:pPr>
      <w:r w:rsidRPr="00AC649D">
        <w:rPr>
          <w:rFonts w:ascii="Arial" w:hAnsi="Arial" w:cs="Arial"/>
          <w:b/>
          <w:bCs/>
        </w:rPr>
        <w:t>PRICING TRANSPARENCY &amp; DISCLOSURE</w:t>
      </w:r>
    </w:p>
    <w:p w14:paraId="57F2791D" w14:textId="77777777" w:rsidR="00AC649D" w:rsidRDefault="00AC649D" w:rsidP="00AC649D">
      <w:pPr>
        <w:pStyle w:val="ListParagraph"/>
        <w:ind w:left="360"/>
        <w:rPr>
          <w:rFonts w:ascii="Arial" w:hAnsi="Arial" w:cs="Arial"/>
        </w:rPr>
      </w:pPr>
      <w:r w:rsidRPr="00AC649D">
        <w:rPr>
          <w:rFonts w:ascii="Arial" w:hAnsi="Arial" w:cs="Arial"/>
        </w:rPr>
        <w:t>There shall be no restrictions on the plan sponsor’s ability to compare prices of like services across providers and disclose such pricing information to its members. Further, there shall be no restrictions on the plan sponsor’s ability to use this data in the development and implementation of incentives to steer members to lower-cost providers.</w:t>
      </w:r>
    </w:p>
    <w:p w14:paraId="577C0887" w14:textId="77777777" w:rsidR="00AC649D" w:rsidRDefault="00AC649D" w:rsidP="00AC649D">
      <w:pPr>
        <w:pStyle w:val="ListParagraph"/>
        <w:ind w:left="360"/>
        <w:rPr>
          <w:rFonts w:ascii="Arial" w:hAnsi="Arial" w:cs="Arial"/>
        </w:rPr>
      </w:pPr>
    </w:p>
    <w:p w14:paraId="1DAF65D2" w14:textId="77777777" w:rsidR="00AC649D" w:rsidRDefault="00AC649D" w:rsidP="00AC649D">
      <w:pPr>
        <w:pStyle w:val="ListParagraph"/>
        <w:numPr>
          <w:ilvl w:val="0"/>
          <w:numId w:val="1"/>
        </w:numPr>
        <w:rPr>
          <w:rFonts w:ascii="Arial" w:hAnsi="Arial" w:cs="Arial"/>
          <w:b/>
          <w:bCs/>
        </w:rPr>
      </w:pPr>
      <w:r w:rsidRPr="00AC649D">
        <w:rPr>
          <w:rFonts w:ascii="Arial" w:hAnsi="Arial" w:cs="Arial"/>
          <w:b/>
          <w:bCs/>
        </w:rPr>
        <w:t>DUAs &amp; NDAs</w:t>
      </w:r>
    </w:p>
    <w:p w14:paraId="4E831F04" w14:textId="77777777" w:rsidR="00AC649D" w:rsidRDefault="00AC649D" w:rsidP="00AC649D">
      <w:pPr>
        <w:pStyle w:val="ListParagraph"/>
        <w:ind w:left="360"/>
        <w:rPr>
          <w:rFonts w:ascii="Arial" w:hAnsi="Arial" w:cs="Arial"/>
        </w:rPr>
      </w:pPr>
      <w:r w:rsidRPr="00AC649D">
        <w:rPr>
          <w:rFonts w:ascii="Arial" w:hAnsi="Arial" w:cs="Arial"/>
        </w:rPr>
        <w:t>No allowances or rights enumerated in this RFP shall be invalidated, obstructed, or otherwise circumvented by the TPA’s or TPA’s partners’ DUAs and/or NDAs with the plan sponsor and/or any of the plan sponsor’s partners. The TPA shall require a DUA and/or an NDA for the sole purpose of protecting the TPA from liability under current laws and regulations.</w:t>
      </w:r>
    </w:p>
    <w:p w14:paraId="1749C162" w14:textId="77777777" w:rsidR="00AC649D" w:rsidRDefault="00AC649D" w:rsidP="00AC649D">
      <w:pPr>
        <w:pStyle w:val="ListParagraph"/>
        <w:ind w:left="360"/>
        <w:rPr>
          <w:rFonts w:ascii="Arial" w:hAnsi="Arial" w:cs="Arial"/>
        </w:rPr>
      </w:pPr>
    </w:p>
    <w:p w14:paraId="038C99C8" w14:textId="77777777" w:rsidR="00AC649D" w:rsidRDefault="00AC649D" w:rsidP="00AC649D">
      <w:pPr>
        <w:pStyle w:val="ListParagraph"/>
        <w:ind w:left="360"/>
        <w:rPr>
          <w:rFonts w:ascii="Arial" w:hAnsi="Arial" w:cs="Arial"/>
        </w:rPr>
      </w:pPr>
      <w:r w:rsidRPr="00AC649D">
        <w:rPr>
          <w:rFonts w:ascii="Arial" w:hAnsi="Arial" w:cs="Arial"/>
        </w:rPr>
        <w:t xml:space="preserve">The plan sponsor retains the right to review </w:t>
      </w:r>
      <w:proofErr w:type="gramStart"/>
      <w:r w:rsidRPr="00AC649D">
        <w:rPr>
          <w:rFonts w:ascii="Arial" w:hAnsi="Arial" w:cs="Arial"/>
        </w:rPr>
        <w:t>any and all</w:t>
      </w:r>
      <w:proofErr w:type="gramEnd"/>
      <w:r w:rsidRPr="00AC649D">
        <w:rPr>
          <w:rFonts w:ascii="Arial" w:hAnsi="Arial" w:cs="Arial"/>
        </w:rPr>
        <w:t xml:space="preserve"> plan sponsor-specific NDAs and/or DUAs between the TPA, the TPA’s partners’, and the plan sponsor’s partners prior to execution.</w:t>
      </w:r>
    </w:p>
    <w:p w14:paraId="43F44494" w14:textId="77777777" w:rsidR="00AC649D" w:rsidRDefault="00AC649D" w:rsidP="00AC649D">
      <w:pPr>
        <w:pStyle w:val="ListParagraph"/>
        <w:ind w:left="360"/>
        <w:rPr>
          <w:rFonts w:ascii="Arial" w:hAnsi="Arial" w:cs="Arial"/>
        </w:rPr>
      </w:pPr>
    </w:p>
    <w:p w14:paraId="0CF7C114" w14:textId="77777777" w:rsidR="00AC649D" w:rsidRPr="00AC649D" w:rsidRDefault="00AC649D" w:rsidP="00AC649D">
      <w:pPr>
        <w:pStyle w:val="ListParagraph"/>
        <w:ind w:left="360"/>
        <w:rPr>
          <w:rFonts w:ascii="Arial" w:hAnsi="Arial" w:cs="Arial"/>
          <w:b/>
          <w:bCs/>
        </w:rPr>
      </w:pPr>
      <w:r w:rsidRPr="00AC649D">
        <w:rPr>
          <w:rStyle w:val="A5"/>
          <w:rFonts w:ascii="Arial" w:hAnsi="Arial" w:cs="Arial"/>
          <w:sz w:val="20"/>
          <w:szCs w:val="20"/>
        </w:rPr>
        <w:t>The TPA’s provider or vendor contracts (or provider contracts related to leased networks) shall not include provisions that restrict in any way the TPA’s ability to fulfill any of the data requirements delineated here or restrict in any way the plan sponsor’s ability to utilize its data as delineated here.</w:t>
      </w:r>
    </w:p>
    <w:p w14:paraId="0A8FECFB" w14:textId="77777777" w:rsidR="00AC649D" w:rsidRDefault="00AC649D" w:rsidP="00AC649D">
      <w:pPr>
        <w:pStyle w:val="ListParagraph"/>
        <w:ind w:left="360"/>
        <w:rPr>
          <w:rFonts w:ascii="Arial" w:hAnsi="Arial" w:cs="Arial"/>
          <w:b/>
          <w:bCs/>
        </w:rPr>
      </w:pPr>
    </w:p>
    <w:p w14:paraId="793B1B39" w14:textId="77777777" w:rsidR="00AC649D" w:rsidRDefault="00AC649D" w:rsidP="00AC649D">
      <w:pPr>
        <w:pStyle w:val="ListParagraph"/>
        <w:numPr>
          <w:ilvl w:val="0"/>
          <w:numId w:val="1"/>
        </w:numPr>
        <w:rPr>
          <w:rFonts w:ascii="Arial" w:hAnsi="Arial" w:cs="Arial"/>
          <w:b/>
          <w:bCs/>
        </w:rPr>
      </w:pPr>
      <w:r w:rsidRPr="00AC649D">
        <w:rPr>
          <w:rFonts w:ascii="Arial" w:hAnsi="Arial" w:cs="Arial"/>
          <w:b/>
          <w:bCs/>
        </w:rPr>
        <w:t>PERFORMANCE MEASUREMENT DATA</w:t>
      </w:r>
    </w:p>
    <w:p w14:paraId="1B4DDDBF" w14:textId="77777777" w:rsidR="00AC649D" w:rsidRPr="00AC649D" w:rsidRDefault="00AC649D" w:rsidP="00AC649D">
      <w:pPr>
        <w:pStyle w:val="ListParagraph"/>
        <w:ind w:left="360"/>
        <w:rPr>
          <w:rFonts w:ascii="Arial" w:hAnsi="Arial" w:cs="Arial"/>
          <w:b/>
          <w:bCs/>
        </w:rPr>
      </w:pPr>
      <w:r w:rsidRPr="00AC649D">
        <w:rPr>
          <w:rFonts w:ascii="Arial" w:hAnsi="Arial" w:cs="Arial"/>
        </w:rPr>
        <w:t>The plan sponsor shall have access to all data utilized to measure the TPA’s performance on all performance guarantees.</w:t>
      </w:r>
    </w:p>
    <w:p w14:paraId="6F45A9CD" w14:textId="77777777" w:rsidR="00AC649D" w:rsidRPr="00AC649D" w:rsidRDefault="00AC649D" w:rsidP="00AC649D">
      <w:pPr>
        <w:pStyle w:val="ListParagraph"/>
        <w:ind w:left="360"/>
        <w:rPr>
          <w:rFonts w:ascii="Arial" w:hAnsi="Arial" w:cs="Arial"/>
          <w:b/>
          <w:bCs/>
        </w:rPr>
      </w:pPr>
    </w:p>
    <w:p w14:paraId="4C044EE5" w14:textId="77777777" w:rsidR="00AC649D" w:rsidRDefault="00AC649D" w:rsidP="00AC649D">
      <w:pPr>
        <w:pStyle w:val="ListParagraph"/>
        <w:numPr>
          <w:ilvl w:val="0"/>
          <w:numId w:val="1"/>
        </w:numPr>
        <w:rPr>
          <w:rFonts w:ascii="Arial" w:hAnsi="Arial" w:cs="Arial"/>
          <w:b/>
          <w:bCs/>
        </w:rPr>
      </w:pPr>
      <w:r w:rsidRPr="00AC649D">
        <w:rPr>
          <w:rFonts w:ascii="Arial" w:hAnsi="Arial" w:cs="Arial"/>
          <w:b/>
          <w:bCs/>
        </w:rPr>
        <w:t>DATA OWNERSHIP UPON TERMINATION</w:t>
      </w:r>
    </w:p>
    <w:p w14:paraId="23986966" w14:textId="4A58CEDA" w:rsidR="00AC649D" w:rsidRPr="00AC649D" w:rsidRDefault="00AC649D" w:rsidP="00AC649D">
      <w:pPr>
        <w:pStyle w:val="ListParagraph"/>
        <w:ind w:left="360"/>
        <w:rPr>
          <w:rFonts w:ascii="Arial" w:hAnsi="Arial" w:cs="Arial"/>
          <w:b/>
          <w:bCs/>
        </w:rPr>
      </w:pPr>
      <w:r w:rsidRPr="00AC649D">
        <w:rPr>
          <w:rFonts w:ascii="Arial" w:hAnsi="Arial" w:cs="Arial"/>
        </w:rPr>
        <w:t>In the event of termination, all claims and other data identified by the plan sponsor will be transferred to the plan sponsor and/or its new TPA at no additional cost to the plan sponsor or to the new TPA.</w:t>
      </w:r>
    </w:p>
    <w:bookmarkEnd w:id="2"/>
    <w:p w14:paraId="3DEFE3E3" w14:textId="77777777" w:rsidR="00AC649D" w:rsidRPr="00AC649D" w:rsidRDefault="00AC649D" w:rsidP="00AC649D">
      <w:pPr>
        <w:pStyle w:val="ListParagraph"/>
        <w:ind w:left="360"/>
        <w:jc w:val="both"/>
        <w:rPr>
          <w:rFonts w:ascii="Arial" w:hAnsi="Arial" w:cs="Arial"/>
          <w:b/>
          <w:bCs/>
        </w:rPr>
      </w:pPr>
    </w:p>
    <w:p w14:paraId="640BA0CE" w14:textId="77777777" w:rsidR="00AC649D" w:rsidRPr="00AC649D" w:rsidRDefault="00AC649D" w:rsidP="00AC649D">
      <w:pPr>
        <w:ind w:left="360"/>
        <w:jc w:val="both"/>
        <w:rPr>
          <w:rFonts w:ascii="Arial" w:hAnsi="Arial" w:cs="Arial"/>
        </w:rPr>
      </w:pPr>
    </w:p>
    <w:p w14:paraId="684DBF8F" w14:textId="68DE18EA"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76420B0D" w14:textId="77777777" w:rsidR="00A53271" w:rsidRDefault="00A53271" w:rsidP="00A53271">
      <w:pPr>
        <w:jc w:val="both"/>
        <w:rPr>
          <w:rFonts w:ascii="Arial" w:eastAsia="Arial" w:hAnsi="Arial" w:cs="Arial"/>
          <w:color w:val="000000"/>
        </w:rPr>
      </w:pPr>
    </w:p>
    <w:p w14:paraId="630F8BD3" w14:textId="5156492C" w:rsidR="00A53271" w:rsidRPr="00A53271" w:rsidRDefault="00A53271" w:rsidP="00A53271">
      <w:pPr>
        <w:jc w:val="both"/>
        <w:rPr>
          <w:rFonts w:ascii="Arial" w:eastAsia="Arial" w:hAnsi="Arial" w:cs="Arial"/>
          <w:color w:val="000000"/>
        </w:rPr>
      </w:pPr>
      <w:r w:rsidRPr="00A53271">
        <w:rPr>
          <w:rFonts w:ascii="Arial" w:eastAsia="Arial" w:hAnsi="Arial" w:cs="Arial"/>
          <w:color w:val="000000"/>
        </w:rPr>
        <w:t>The University of Maine System is seeking responses to provide TPA services as defined in this document, the UMS Submission Package and the Technical Package.</w:t>
      </w:r>
    </w:p>
    <w:p w14:paraId="54C15518" w14:textId="7836A2C6" w:rsidR="003D655D" w:rsidRPr="005C2892" w:rsidRDefault="003D655D">
      <w:pPr>
        <w:rPr>
          <w:rFonts w:ascii="Arial" w:hAnsi="Arial" w:cs="Arial"/>
        </w:rPr>
      </w:pPr>
    </w:p>
    <w:p w14:paraId="17EA51D6" w14:textId="77777777" w:rsidR="003D655D" w:rsidRPr="005C2892" w:rsidRDefault="003D655D">
      <w:pPr>
        <w:rPr>
          <w:rFonts w:ascii="Arial" w:hAnsi="Arial" w:cs="Arial"/>
        </w:rPr>
      </w:pPr>
    </w:p>
    <w:p w14:paraId="13524999" w14:textId="262EAC47" w:rsidR="003D655D" w:rsidRDefault="003D655D" w:rsidP="003D655D">
      <w:pPr>
        <w:autoSpaceDE w:val="0"/>
        <w:autoSpaceDN w:val="0"/>
        <w:rPr>
          <w:rFonts w:ascii="Arial" w:hAnsi="Arial" w:cs="Arial"/>
          <w:b/>
        </w:rPr>
      </w:pPr>
      <w:r w:rsidRPr="005C2892">
        <w:rPr>
          <w:rFonts w:ascii="Arial" w:hAnsi="Arial" w:cs="Arial"/>
          <w:b/>
        </w:rPr>
        <w:t>PRODUCT SCOPE OF WORK</w:t>
      </w:r>
    </w:p>
    <w:p w14:paraId="2E3C42CF" w14:textId="77777777" w:rsidR="00A53271" w:rsidRPr="005C2892" w:rsidRDefault="00A53271" w:rsidP="003D655D">
      <w:pPr>
        <w:autoSpaceDE w:val="0"/>
        <w:autoSpaceDN w:val="0"/>
        <w:rPr>
          <w:rFonts w:ascii="Arial" w:hAnsi="Arial" w:cs="Arial"/>
          <w:b/>
        </w:rPr>
      </w:pPr>
    </w:p>
    <w:p w14:paraId="5B783549" w14:textId="77777777" w:rsidR="00A53271" w:rsidRDefault="00A53271" w:rsidP="00A53271">
      <w:pPr>
        <w:pStyle w:val="ListParagraph"/>
        <w:ind w:left="0"/>
        <w:rPr>
          <w:rFonts w:ascii="Arial" w:eastAsia="Arial" w:hAnsi="Arial" w:cs="Arial"/>
          <w:b/>
          <w:color w:val="000000"/>
        </w:rPr>
      </w:pPr>
      <w:r w:rsidRPr="004D253E">
        <w:rPr>
          <w:rFonts w:ascii="Arial" w:eastAsia="Arial" w:hAnsi="Arial" w:cs="Arial"/>
          <w:color w:val="000000"/>
        </w:rPr>
        <w:t xml:space="preserve">The University of Maine System currently provides medical benefits to approximately </w:t>
      </w:r>
      <w:r w:rsidRPr="009F4647">
        <w:rPr>
          <w:rFonts w:ascii="Arial" w:eastAsia="Arial" w:hAnsi="Arial" w:cs="Arial"/>
          <w:color w:val="000000"/>
        </w:rPr>
        <w:t>4,200</w:t>
      </w:r>
      <w:r w:rsidRPr="004D253E">
        <w:rPr>
          <w:rFonts w:ascii="Arial" w:eastAsia="Arial" w:hAnsi="Arial" w:cs="Arial"/>
          <w:color w:val="000000"/>
        </w:rPr>
        <w:t xml:space="preserve"> active </w:t>
      </w:r>
      <w:r w:rsidRPr="00431674">
        <w:rPr>
          <w:rFonts w:ascii="Arial" w:eastAsia="Arial" w:hAnsi="Arial" w:cs="Arial"/>
          <w:color w:val="000000"/>
        </w:rPr>
        <w:t>employees, 2,200 under age 65 retirees and their dependents, totaling over 6,200 enr</w:t>
      </w:r>
      <w:r w:rsidRPr="004D253E">
        <w:rPr>
          <w:rFonts w:ascii="Arial" w:eastAsia="Arial" w:hAnsi="Arial" w:cs="Arial"/>
          <w:color w:val="000000"/>
        </w:rPr>
        <w:t xml:space="preserve">olled employees.   </w:t>
      </w:r>
      <w:r w:rsidRPr="004D253E">
        <w:rPr>
          <w:rFonts w:ascii="Arial" w:eastAsia="Arial" w:hAnsi="Arial" w:cs="Arial"/>
          <w:b/>
          <w:color w:val="000000"/>
        </w:rPr>
        <w:t>Over 65 retirees receive benefits through a national Aetna Medicare Advantage program and are NOT part of this effort.</w:t>
      </w:r>
    </w:p>
    <w:p w14:paraId="2DA10E22" w14:textId="77777777" w:rsidR="00A53271" w:rsidRDefault="00A53271" w:rsidP="00A53271">
      <w:pPr>
        <w:pStyle w:val="ListParagraph"/>
        <w:ind w:left="0"/>
        <w:rPr>
          <w:rFonts w:ascii="Arial" w:eastAsia="Arial" w:hAnsi="Arial" w:cs="Arial"/>
          <w:b/>
          <w:color w:val="000000"/>
        </w:rPr>
      </w:pPr>
    </w:p>
    <w:p w14:paraId="16A7F550" w14:textId="77777777" w:rsidR="00A53271" w:rsidRDefault="00A53271" w:rsidP="00A53271">
      <w:pPr>
        <w:pStyle w:val="ListParagraph"/>
        <w:ind w:left="0"/>
        <w:rPr>
          <w:rFonts w:ascii="Arial" w:eastAsia="Arial" w:hAnsi="Arial" w:cs="Arial"/>
          <w:color w:val="000000"/>
        </w:rPr>
      </w:pPr>
      <w:r w:rsidRPr="004D253E">
        <w:rPr>
          <w:rFonts w:ascii="Arial" w:eastAsia="Arial" w:hAnsi="Arial" w:cs="Arial"/>
          <w:color w:val="000000"/>
        </w:rPr>
        <w:t>The University of Maine System offers all employees a choice between a traditional PPO plan (varies by collective bargaining unit) and a High Deductible Health Plan (consistent to all cohort groups).  All plans have been self-insured with CIGNA since January 1, 2012.   TPA services have also been “carved in” to CIGNA since that time.</w:t>
      </w:r>
    </w:p>
    <w:p w14:paraId="447AB210" w14:textId="77777777" w:rsidR="00A53271" w:rsidRDefault="00A53271" w:rsidP="00A53271">
      <w:pPr>
        <w:pStyle w:val="ListParagraph"/>
        <w:ind w:left="0"/>
        <w:rPr>
          <w:rFonts w:ascii="Arial" w:eastAsia="Arial" w:hAnsi="Arial" w:cs="Arial"/>
          <w:color w:val="000000"/>
        </w:rPr>
      </w:pPr>
    </w:p>
    <w:p w14:paraId="6B1AB4B6" w14:textId="77777777" w:rsidR="00A53271" w:rsidRDefault="00A53271" w:rsidP="00A53271">
      <w:pPr>
        <w:pStyle w:val="ListParagraph"/>
        <w:ind w:left="0"/>
        <w:rPr>
          <w:rFonts w:ascii="Arial" w:eastAsia="Arial" w:hAnsi="Arial" w:cs="Arial"/>
          <w:color w:val="000000"/>
        </w:rPr>
      </w:pPr>
    </w:p>
    <w:p w14:paraId="7A93A9F1" w14:textId="77777777" w:rsidR="00A53271" w:rsidRPr="00D4590F" w:rsidRDefault="00A53271" w:rsidP="00A53271">
      <w:pPr>
        <w:pBdr>
          <w:top w:val="nil"/>
          <w:left w:val="nil"/>
          <w:bottom w:val="nil"/>
          <w:right w:val="nil"/>
          <w:between w:val="nil"/>
        </w:pBdr>
        <w:jc w:val="both"/>
        <w:rPr>
          <w:rFonts w:ascii="Arial" w:eastAsia="Arial" w:hAnsi="Arial" w:cs="Arial"/>
          <w:b/>
          <w:bCs/>
        </w:rPr>
      </w:pPr>
      <w:r w:rsidRPr="00D4590F">
        <w:rPr>
          <w:rFonts w:ascii="Arial" w:eastAsia="Arial" w:hAnsi="Arial" w:cs="Arial"/>
          <w:b/>
          <w:bCs/>
        </w:rPr>
        <w:t>OF NOTE:</w:t>
      </w:r>
    </w:p>
    <w:p w14:paraId="0DEB7E43" w14:textId="77777777" w:rsidR="00A53271" w:rsidRPr="00E520AE" w:rsidRDefault="00A53271" w:rsidP="00A53271">
      <w:pPr>
        <w:jc w:val="both"/>
        <w:rPr>
          <w:rFonts w:ascii="Arial" w:hAnsi="Arial" w:cs="Arial"/>
          <w:bCs/>
        </w:rPr>
      </w:pPr>
      <w:r w:rsidRPr="00E520AE">
        <w:rPr>
          <w:rFonts w:ascii="Arial" w:hAnsi="Arial" w:cs="Arial"/>
          <w:bCs/>
        </w:rPr>
        <w:t xml:space="preserve">- University of Maine System incorporates </w:t>
      </w:r>
      <w:r w:rsidRPr="00431674">
        <w:rPr>
          <w:rFonts w:ascii="Arial" w:hAnsi="Arial" w:cs="Arial"/>
          <w:b/>
          <w:color w:val="1F4E79" w:themeColor="accent1" w:themeShade="80"/>
        </w:rPr>
        <w:t>Hospital Tiering</w:t>
      </w:r>
      <w:r w:rsidRPr="00431674">
        <w:rPr>
          <w:rFonts w:ascii="Arial" w:hAnsi="Arial" w:cs="Arial"/>
          <w:bCs/>
          <w:color w:val="1F4E79" w:themeColor="accent1" w:themeShade="80"/>
        </w:rPr>
        <w:t xml:space="preserve"> </w:t>
      </w:r>
      <w:r w:rsidRPr="00E520AE">
        <w:rPr>
          <w:rFonts w:ascii="Arial" w:hAnsi="Arial" w:cs="Arial"/>
          <w:bCs/>
        </w:rPr>
        <w:t xml:space="preserve">into their Plan Design.   Currently, any hospital that is eligible and engages in a CIGNA CAC contract is granted "Tier 1" status and lower copays apply.   Copay differential varies by bargaining unit.  </w:t>
      </w:r>
      <w:r w:rsidRPr="00E520AE">
        <w:rPr>
          <w:rFonts w:ascii="Arial" w:hAnsi="Arial" w:cs="Arial"/>
          <w:b/>
          <w:i/>
          <w:iCs/>
        </w:rPr>
        <w:t>For purposes of this procurement, please assume all hospitals are Tier 1.</w:t>
      </w:r>
      <w:r w:rsidRPr="00E520AE">
        <w:rPr>
          <w:rFonts w:ascii="Arial" w:hAnsi="Arial" w:cs="Arial"/>
          <w:bCs/>
        </w:rPr>
        <w:t xml:space="preserve"> </w:t>
      </w:r>
    </w:p>
    <w:p w14:paraId="1E577F9F" w14:textId="77777777" w:rsidR="00A53271" w:rsidRPr="00E520AE" w:rsidRDefault="00A53271" w:rsidP="00A53271">
      <w:pPr>
        <w:jc w:val="both"/>
        <w:rPr>
          <w:rFonts w:ascii="Arial" w:hAnsi="Arial" w:cs="Arial"/>
          <w:bCs/>
        </w:rPr>
      </w:pPr>
    </w:p>
    <w:p w14:paraId="1DC7C1D8" w14:textId="77777777" w:rsidR="00A53271" w:rsidRPr="00E520AE" w:rsidRDefault="00A53271" w:rsidP="00A53271">
      <w:pPr>
        <w:jc w:val="both"/>
        <w:rPr>
          <w:rFonts w:ascii="Arial" w:hAnsi="Arial" w:cs="Arial"/>
          <w:b/>
          <w:i/>
          <w:iCs/>
        </w:rPr>
      </w:pPr>
      <w:r w:rsidRPr="00E520AE">
        <w:rPr>
          <w:rFonts w:ascii="Arial" w:hAnsi="Arial" w:cs="Arial"/>
          <w:bCs/>
        </w:rPr>
        <w:t xml:space="preserve">- University of Maine System incorporates </w:t>
      </w:r>
      <w:r w:rsidRPr="00431674">
        <w:rPr>
          <w:rFonts w:ascii="Arial" w:hAnsi="Arial" w:cs="Arial"/>
          <w:b/>
          <w:color w:val="1F4E79" w:themeColor="accent1" w:themeShade="80"/>
        </w:rPr>
        <w:t>Specialty Tiering</w:t>
      </w:r>
      <w:r w:rsidRPr="00431674">
        <w:rPr>
          <w:rFonts w:ascii="Arial" w:hAnsi="Arial" w:cs="Arial"/>
          <w:bCs/>
          <w:color w:val="1F4E79" w:themeColor="accent1" w:themeShade="80"/>
        </w:rPr>
        <w:t xml:space="preserve"> </w:t>
      </w:r>
      <w:r w:rsidRPr="00E520AE">
        <w:rPr>
          <w:rFonts w:ascii="Arial" w:hAnsi="Arial" w:cs="Arial"/>
          <w:bCs/>
        </w:rPr>
        <w:t>into their Plan Design.   Currently, any providers that have CIGNA CCN/CCD status are granted "Tier 1" status and lower copays apply.  Copay differential varies by bargaining unit.</w:t>
      </w:r>
      <w:r w:rsidRPr="00E520AE">
        <w:rPr>
          <w:rFonts w:ascii="Arial" w:hAnsi="Arial" w:cs="Arial"/>
          <w:b/>
          <w:i/>
          <w:iCs/>
        </w:rPr>
        <w:t xml:space="preserve">  For purposes of this procurement, please assume all Specialists will take the lower copay.</w:t>
      </w:r>
    </w:p>
    <w:p w14:paraId="13642F19" w14:textId="77777777" w:rsidR="00A53271" w:rsidRPr="00E520AE" w:rsidRDefault="00A53271" w:rsidP="00A53271">
      <w:pPr>
        <w:jc w:val="both"/>
        <w:rPr>
          <w:rFonts w:ascii="Arial" w:hAnsi="Arial" w:cs="Arial"/>
          <w:bCs/>
        </w:rPr>
      </w:pPr>
    </w:p>
    <w:p w14:paraId="056F8B55" w14:textId="77777777" w:rsidR="00A53271" w:rsidRPr="00E520AE" w:rsidRDefault="00A53271" w:rsidP="00A53271">
      <w:pPr>
        <w:jc w:val="both"/>
        <w:rPr>
          <w:rFonts w:ascii="Arial" w:hAnsi="Arial" w:cs="Arial"/>
          <w:bCs/>
        </w:rPr>
      </w:pPr>
      <w:r w:rsidRPr="00E520AE">
        <w:rPr>
          <w:rFonts w:ascii="Arial" w:hAnsi="Arial" w:cs="Arial"/>
          <w:bCs/>
        </w:rPr>
        <w:t xml:space="preserve">- University of Maine System does provide an annual employer contribution to anyone who elects the High Deductible Health Plan and opens a </w:t>
      </w:r>
      <w:r w:rsidRPr="00431674">
        <w:rPr>
          <w:rFonts w:ascii="Arial" w:hAnsi="Arial" w:cs="Arial"/>
          <w:b/>
          <w:color w:val="1F4E79" w:themeColor="accent1" w:themeShade="80"/>
        </w:rPr>
        <w:t>Health Savings Account</w:t>
      </w:r>
      <w:r w:rsidRPr="00E520AE">
        <w:rPr>
          <w:rFonts w:ascii="Arial" w:hAnsi="Arial" w:cs="Arial"/>
          <w:bCs/>
        </w:rPr>
        <w:t xml:space="preserve"> (integrated with CIGNA).  If you do not have an integrated Health Savings Account capability, we will expect that you will subcontract to a vendor partner and that your organization will absorb the expense of this program and accept all liabilities and integration expense.  </w:t>
      </w:r>
    </w:p>
    <w:p w14:paraId="2340E6AA" w14:textId="77777777" w:rsidR="00A53271" w:rsidRPr="00E520AE" w:rsidRDefault="00A53271" w:rsidP="00A53271">
      <w:pPr>
        <w:jc w:val="both"/>
        <w:rPr>
          <w:rFonts w:ascii="Arial" w:hAnsi="Arial" w:cs="Arial"/>
          <w:bCs/>
        </w:rPr>
      </w:pPr>
    </w:p>
    <w:p w14:paraId="0BDDD6BC" w14:textId="77777777" w:rsidR="00A53271" w:rsidRPr="00E520AE" w:rsidRDefault="00A53271" w:rsidP="00A53271">
      <w:pPr>
        <w:jc w:val="both"/>
        <w:rPr>
          <w:rFonts w:ascii="Arial" w:hAnsi="Arial" w:cs="Arial"/>
          <w:bCs/>
        </w:rPr>
      </w:pPr>
      <w:r w:rsidRPr="00E520AE">
        <w:rPr>
          <w:rFonts w:ascii="Arial" w:hAnsi="Arial" w:cs="Arial"/>
          <w:bCs/>
        </w:rPr>
        <w:t xml:space="preserve">- </w:t>
      </w:r>
      <w:r w:rsidRPr="00431674">
        <w:rPr>
          <w:rFonts w:ascii="Arial" w:hAnsi="Arial" w:cs="Arial"/>
          <w:b/>
          <w:color w:val="1F4E79" w:themeColor="accent1" w:themeShade="80"/>
        </w:rPr>
        <w:t>Pharmacy benefits</w:t>
      </w:r>
      <w:r w:rsidRPr="00431674">
        <w:rPr>
          <w:rFonts w:ascii="Arial" w:hAnsi="Arial" w:cs="Arial"/>
          <w:bCs/>
          <w:color w:val="1F4E79" w:themeColor="accent1" w:themeShade="80"/>
        </w:rPr>
        <w:t xml:space="preserve"> </w:t>
      </w:r>
      <w:r w:rsidRPr="00E520AE">
        <w:rPr>
          <w:rFonts w:ascii="Arial" w:hAnsi="Arial" w:cs="Arial"/>
          <w:bCs/>
        </w:rPr>
        <w:t xml:space="preserve">are currently “carved in” for all plans.  </w:t>
      </w:r>
      <w:r w:rsidRPr="00E520AE">
        <w:rPr>
          <w:rFonts w:ascii="Arial" w:hAnsi="Arial" w:cs="Arial"/>
          <w:b/>
          <w:bCs/>
        </w:rPr>
        <w:t xml:space="preserve">As part of this effort, University of Maine System is also issuing a separate "RFP for Pharmacy Program" to evaluate </w:t>
      </w:r>
      <w:proofErr w:type="gramStart"/>
      <w:r w:rsidRPr="00E520AE">
        <w:rPr>
          <w:rFonts w:ascii="Arial" w:hAnsi="Arial" w:cs="Arial"/>
          <w:b/>
          <w:bCs/>
        </w:rPr>
        <w:t>whether or not</w:t>
      </w:r>
      <w:proofErr w:type="gramEnd"/>
      <w:r w:rsidRPr="00E520AE">
        <w:rPr>
          <w:rFonts w:ascii="Arial" w:hAnsi="Arial" w:cs="Arial"/>
          <w:b/>
          <w:bCs/>
        </w:rPr>
        <w:t xml:space="preserve"> to continue to “carve in” pharmacy benefits, or to partner with a specialty vendor on a “carve out” basis.   </w:t>
      </w:r>
      <w:r w:rsidRPr="00E520AE">
        <w:rPr>
          <w:rFonts w:ascii="Arial" w:hAnsi="Arial" w:cs="Arial"/>
          <w:bCs/>
        </w:rPr>
        <w:t xml:space="preserve"> </w:t>
      </w:r>
    </w:p>
    <w:p w14:paraId="5883AF01" w14:textId="77777777" w:rsidR="00A53271" w:rsidRPr="00E520AE" w:rsidRDefault="00A53271" w:rsidP="00A53271">
      <w:pPr>
        <w:jc w:val="both"/>
        <w:rPr>
          <w:rFonts w:ascii="Arial" w:hAnsi="Arial" w:cs="Arial"/>
          <w:bCs/>
        </w:rPr>
      </w:pPr>
    </w:p>
    <w:p w14:paraId="4EDDA8DB" w14:textId="77777777" w:rsidR="00A53271" w:rsidRPr="00E520AE" w:rsidRDefault="00A53271" w:rsidP="00A53271">
      <w:pPr>
        <w:jc w:val="both"/>
        <w:rPr>
          <w:rFonts w:ascii="Arial" w:hAnsi="Arial" w:cs="Arial"/>
          <w:bCs/>
        </w:rPr>
      </w:pPr>
      <w:r w:rsidRPr="00E520AE">
        <w:rPr>
          <w:rFonts w:ascii="Arial" w:hAnsi="Arial" w:cs="Arial"/>
          <w:bCs/>
        </w:rPr>
        <w:t xml:space="preserve">- </w:t>
      </w:r>
      <w:r w:rsidRPr="00431674">
        <w:rPr>
          <w:rFonts w:ascii="Arial" w:hAnsi="Arial" w:cs="Arial"/>
          <w:b/>
          <w:color w:val="1F4E79" w:themeColor="accent1" w:themeShade="80"/>
        </w:rPr>
        <w:t>Behavioral Health benefits</w:t>
      </w:r>
      <w:r w:rsidRPr="00431674">
        <w:rPr>
          <w:rFonts w:ascii="Arial" w:hAnsi="Arial" w:cs="Arial"/>
          <w:bCs/>
          <w:color w:val="1F4E79" w:themeColor="accent1" w:themeShade="80"/>
        </w:rPr>
        <w:t xml:space="preserve"> </w:t>
      </w:r>
      <w:r w:rsidRPr="00E520AE">
        <w:rPr>
          <w:rFonts w:ascii="Arial" w:hAnsi="Arial" w:cs="Arial"/>
          <w:bCs/>
        </w:rPr>
        <w:t>are currently "carved in" for all plans.   The University of Maine System does have a separate Employee Assistance Program (EAP) with ComPsych.   That program is not part of this effort.  We do expect the winning bidder to coordinate and make appropriate referrals to ComPsych when appropriate.</w:t>
      </w:r>
    </w:p>
    <w:p w14:paraId="28A3BE30" w14:textId="77777777" w:rsidR="00A53271" w:rsidRPr="00E520AE" w:rsidRDefault="00A53271" w:rsidP="00A53271">
      <w:pPr>
        <w:jc w:val="both"/>
        <w:rPr>
          <w:rFonts w:ascii="Arial" w:hAnsi="Arial" w:cs="Arial"/>
          <w:bCs/>
        </w:rPr>
      </w:pPr>
    </w:p>
    <w:p w14:paraId="2CC40F1B" w14:textId="77777777" w:rsidR="00A53271" w:rsidRPr="00E520AE" w:rsidRDefault="00A53271" w:rsidP="00A53271">
      <w:pPr>
        <w:jc w:val="both"/>
        <w:rPr>
          <w:rFonts w:ascii="Arial" w:hAnsi="Arial" w:cs="Arial"/>
          <w:bCs/>
        </w:rPr>
      </w:pPr>
      <w:r w:rsidRPr="00E520AE">
        <w:rPr>
          <w:rFonts w:ascii="Arial" w:hAnsi="Arial" w:cs="Arial"/>
          <w:bCs/>
        </w:rPr>
        <w:t xml:space="preserve">- Currently, University of Maine System uses CIGNA </w:t>
      </w:r>
      <w:proofErr w:type="spellStart"/>
      <w:r w:rsidRPr="00E520AE">
        <w:rPr>
          <w:rFonts w:ascii="Arial" w:hAnsi="Arial" w:cs="Arial"/>
          <w:bCs/>
        </w:rPr>
        <w:t>MotivateMe</w:t>
      </w:r>
      <w:proofErr w:type="spellEnd"/>
      <w:r w:rsidRPr="00E520AE">
        <w:rPr>
          <w:rFonts w:ascii="Arial" w:hAnsi="Arial" w:cs="Arial"/>
          <w:bCs/>
        </w:rPr>
        <w:t xml:space="preserve"> as their </w:t>
      </w:r>
      <w:r w:rsidRPr="00431674">
        <w:rPr>
          <w:rFonts w:ascii="Arial" w:hAnsi="Arial" w:cs="Arial"/>
          <w:b/>
          <w:color w:val="1F4E79" w:themeColor="accent1" w:themeShade="80"/>
        </w:rPr>
        <w:t>Wellness Program incentive tracking platform</w:t>
      </w:r>
      <w:r w:rsidRPr="00E520AE">
        <w:rPr>
          <w:rFonts w:ascii="Arial" w:hAnsi="Arial" w:cs="Arial"/>
          <w:bCs/>
        </w:rPr>
        <w:t xml:space="preserve">.  CIGNA does not charge for this use of this platform.  We are looking at health plan capabilities in this area as part of this effort.  If you do not have a platform that can accommodate the requirements of the Wellbeing Plan Design, we will expect that you will subcontract to a vendor partner and that your organization will absorb the expense of this program and accept all liabilities and integration expense.    </w:t>
      </w:r>
      <w:r w:rsidRPr="00E520AE">
        <w:rPr>
          <w:rFonts w:ascii="Arial" w:hAnsi="Arial" w:cs="Arial"/>
          <w:b/>
          <w:bCs/>
        </w:rPr>
        <w:t xml:space="preserve">We are NOT considering separate "carve out" platforms </w:t>
      </w:r>
      <w:proofErr w:type="gramStart"/>
      <w:r w:rsidRPr="00E520AE">
        <w:rPr>
          <w:rFonts w:ascii="Arial" w:hAnsi="Arial" w:cs="Arial"/>
          <w:b/>
          <w:bCs/>
        </w:rPr>
        <w:t>at this time</w:t>
      </w:r>
      <w:proofErr w:type="gramEnd"/>
      <w:r w:rsidRPr="00E520AE">
        <w:rPr>
          <w:rFonts w:ascii="Arial" w:hAnsi="Arial" w:cs="Arial"/>
          <w:b/>
          <w:bCs/>
        </w:rPr>
        <w:t>.</w:t>
      </w:r>
    </w:p>
    <w:p w14:paraId="78844636" w14:textId="77777777" w:rsidR="00A53271" w:rsidRDefault="00A53271" w:rsidP="00A53271">
      <w:pPr>
        <w:jc w:val="both"/>
        <w:rPr>
          <w:rFonts w:ascii="Arial" w:hAnsi="Arial" w:cs="Arial"/>
          <w:bCs/>
        </w:rPr>
      </w:pPr>
    </w:p>
    <w:p w14:paraId="058689CB" w14:textId="77777777" w:rsidR="00A53271" w:rsidRPr="00E520AE" w:rsidRDefault="00A53271" w:rsidP="00A53271">
      <w:pPr>
        <w:pBdr>
          <w:top w:val="nil"/>
          <w:left w:val="nil"/>
          <w:bottom w:val="nil"/>
          <w:right w:val="nil"/>
          <w:between w:val="nil"/>
        </w:pBdr>
        <w:jc w:val="both"/>
        <w:rPr>
          <w:rFonts w:ascii="Arial" w:eastAsia="Arial" w:hAnsi="Arial" w:cs="Arial"/>
        </w:rPr>
      </w:pPr>
    </w:p>
    <w:p w14:paraId="1560F41C" w14:textId="77777777" w:rsidR="00A53271" w:rsidRPr="004D253E" w:rsidRDefault="00A53271" w:rsidP="00A53271">
      <w:pPr>
        <w:pBdr>
          <w:top w:val="nil"/>
          <w:left w:val="nil"/>
          <w:bottom w:val="nil"/>
          <w:right w:val="nil"/>
          <w:between w:val="nil"/>
        </w:pBdr>
        <w:jc w:val="both"/>
        <w:rPr>
          <w:rFonts w:ascii="Arial" w:eastAsia="Arial" w:hAnsi="Arial" w:cs="Arial"/>
          <w:b/>
          <w:bCs/>
          <w:sz w:val="24"/>
          <w:szCs w:val="24"/>
        </w:rPr>
      </w:pPr>
      <w:r w:rsidRPr="004D253E">
        <w:rPr>
          <w:rFonts w:ascii="Arial" w:eastAsia="Arial" w:hAnsi="Arial" w:cs="Arial"/>
          <w:b/>
          <w:bCs/>
          <w:sz w:val="24"/>
          <w:szCs w:val="24"/>
        </w:rPr>
        <w:t>Objectives</w:t>
      </w:r>
    </w:p>
    <w:p w14:paraId="438194F6" w14:textId="77777777" w:rsidR="00A53271" w:rsidRDefault="00A53271" w:rsidP="00A53271">
      <w:pPr>
        <w:pBdr>
          <w:top w:val="nil"/>
          <w:left w:val="nil"/>
          <w:bottom w:val="nil"/>
          <w:right w:val="nil"/>
          <w:between w:val="nil"/>
        </w:pBdr>
        <w:jc w:val="both"/>
        <w:rPr>
          <w:rFonts w:ascii="Arial" w:eastAsia="Arial" w:hAnsi="Arial" w:cs="Arial"/>
          <w:b/>
          <w:bCs/>
        </w:rPr>
      </w:pPr>
    </w:p>
    <w:p w14:paraId="5D3C8372" w14:textId="77777777" w:rsidR="00A53271" w:rsidRDefault="00A53271" w:rsidP="00A53271">
      <w:pPr>
        <w:pBdr>
          <w:top w:val="nil"/>
          <w:left w:val="nil"/>
          <w:bottom w:val="nil"/>
          <w:right w:val="nil"/>
          <w:between w:val="nil"/>
        </w:pBdr>
        <w:jc w:val="both"/>
        <w:rPr>
          <w:rFonts w:ascii="Arial" w:eastAsia="Arial" w:hAnsi="Arial" w:cs="Arial"/>
        </w:rPr>
      </w:pPr>
      <w:r w:rsidRPr="00125BE5">
        <w:rPr>
          <w:rFonts w:ascii="Arial" w:eastAsia="Arial" w:hAnsi="Arial" w:cs="Arial"/>
        </w:rPr>
        <w:t>The primary objectives are to partner with a vendor who has a dedication to:</w:t>
      </w:r>
    </w:p>
    <w:p w14:paraId="758BA3B2" w14:textId="77777777" w:rsidR="00A53271" w:rsidRDefault="00A53271" w:rsidP="00A53271">
      <w:pPr>
        <w:pBdr>
          <w:top w:val="nil"/>
          <w:left w:val="nil"/>
          <w:bottom w:val="nil"/>
          <w:right w:val="nil"/>
          <w:between w:val="nil"/>
        </w:pBdr>
        <w:jc w:val="both"/>
        <w:rPr>
          <w:rFonts w:ascii="Arial" w:eastAsia="Arial" w:hAnsi="Arial" w:cs="Arial"/>
        </w:rPr>
      </w:pPr>
    </w:p>
    <w:p w14:paraId="0913EA77" w14:textId="77777777" w:rsidR="00A53271" w:rsidRPr="00125BE5" w:rsidRDefault="00A53271" w:rsidP="00A53271">
      <w:pPr>
        <w:numPr>
          <w:ilvl w:val="0"/>
          <w:numId w:val="14"/>
        </w:numPr>
        <w:pBdr>
          <w:top w:val="nil"/>
          <w:left w:val="nil"/>
          <w:bottom w:val="nil"/>
          <w:right w:val="nil"/>
          <w:between w:val="nil"/>
        </w:pBdr>
        <w:tabs>
          <w:tab w:val="num" w:pos="-1440"/>
        </w:tabs>
        <w:spacing w:line="259" w:lineRule="auto"/>
        <w:ind w:left="720"/>
        <w:jc w:val="both"/>
        <w:rPr>
          <w:rFonts w:ascii="Arial" w:eastAsia="Arial" w:hAnsi="Arial" w:cs="Arial"/>
        </w:rPr>
      </w:pPr>
      <w:r w:rsidRPr="00125BE5">
        <w:rPr>
          <w:rFonts w:ascii="Arial" w:eastAsia="Arial" w:hAnsi="Arial" w:cs="Arial"/>
        </w:rPr>
        <w:t>Offering the Most Financially Advantageous Arrangement to the Organization, </w:t>
      </w:r>
    </w:p>
    <w:p w14:paraId="5C168203" w14:textId="77777777" w:rsidR="00A53271" w:rsidRPr="00125BE5" w:rsidRDefault="00A53271" w:rsidP="00A53271">
      <w:pPr>
        <w:numPr>
          <w:ilvl w:val="0"/>
          <w:numId w:val="14"/>
        </w:numPr>
        <w:pBdr>
          <w:top w:val="nil"/>
          <w:left w:val="nil"/>
          <w:bottom w:val="nil"/>
          <w:right w:val="nil"/>
          <w:between w:val="nil"/>
        </w:pBdr>
        <w:tabs>
          <w:tab w:val="num" w:pos="-1440"/>
        </w:tabs>
        <w:spacing w:line="259" w:lineRule="auto"/>
        <w:ind w:left="720"/>
        <w:jc w:val="both"/>
        <w:rPr>
          <w:rFonts w:ascii="Arial" w:eastAsia="Arial" w:hAnsi="Arial" w:cs="Arial"/>
        </w:rPr>
      </w:pPr>
      <w:r w:rsidRPr="00125BE5">
        <w:rPr>
          <w:rFonts w:ascii="Arial" w:eastAsia="Arial" w:hAnsi="Arial" w:cs="Arial"/>
        </w:rPr>
        <w:t>Exceptional Account Management &amp; Member Service,</w:t>
      </w:r>
    </w:p>
    <w:p w14:paraId="6686A26D" w14:textId="77777777" w:rsidR="00A53271" w:rsidRPr="00125BE5" w:rsidRDefault="00A53271" w:rsidP="00A53271">
      <w:pPr>
        <w:numPr>
          <w:ilvl w:val="0"/>
          <w:numId w:val="14"/>
        </w:numPr>
        <w:pBdr>
          <w:top w:val="nil"/>
          <w:left w:val="nil"/>
          <w:bottom w:val="nil"/>
          <w:right w:val="nil"/>
          <w:between w:val="nil"/>
        </w:pBdr>
        <w:tabs>
          <w:tab w:val="num" w:pos="-1440"/>
        </w:tabs>
        <w:spacing w:line="259" w:lineRule="auto"/>
        <w:ind w:left="720"/>
        <w:jc w:val="both"/>
        <w:rPr>
          <w:rFonts w:ascii="Arial" w:eastAsia="Arial" w:hAnsi="Arial" w:cs="Arial"/>
        </w:rPr>
      </w:pPr>
      <w:r w:rsidRPr="00125BE5">
        <w:rPr>
          <w:rFonts w:ascii="Arial" w:eastAsia="Arial" w:hAnsi="Arial" w:cs="Arial"/>
        </w:rPr>
        <w:t>Commitment to Health Improvement &amp; Quality / Cost Transparency</w:t>
      </w:r>
    </w:p>
    <w:p w14:paraId="56121AAB" w14:textId="77777777" w:rsidR="00A53271" w:rsidRDefault="00A53271" w:rsidP="00A53271">
      <w:pPr>
        <w:numPr>
          <w:ilvl w:val="0"/>
          <w:numId w:val="14"/>
        </w:numPr>
        <w:pBdr>
          <w:top w:val="nil"/>
          <w:left w:val="nil"/>
          <w:bottom w:val="nil"/>
          <w:right w:val="nil"/>
          <w:between w:val="nil"/>
        </w:pBdr>
        <w:tabs>
          <w:tab w:val="num" w:pos="-1440"/>
        </w:tabs>
        <w:spacing w:line="259" w:lineRule="auto"/>
        <w:ind w:left="720"/>
        <w:jc w:val="both"/>
        <w:rPr>
          <w:rFonts w:ascii="Arial" w:eastAsia="Arial" w:hAnsi="Arial" w:cs="Arial"/>
        </w:rPr>
      </w:pPr>
      <w:r w:rsidRPr="00125BE5">
        <w:rPr>
          <w:rFonts w:ascii="Arial" w:eastAsia="Arial" w:hAnsi="Arial" w:cs="Arial"/>
        </w:rPr>
        <w:t>Ability to Support to help ensure Compliance with various Federal &amp; State requirements</w:t>
      </w:r>
    </w:p>
    <w:p w14:paraId="0F96019E" w14:textId="77777777" w:rsidR="00A53271" w:rsidRPr="000C739E" w:rsidRDefault="00A53271" w:rsidP="00A53271">
      <w:pPr>
        <w:numPr>
          <w:ilvl w:val="0"/>
          <w:numId w:val="14"/>
        </w:numPr>
        <w:tabs>
          <w:tab w:val="clear" w:pos="2880"/>
          <w:tab w:val="num" w:pos="720"/>
        </w:tabs>
        <w:spacing w:line="360" w:lineRule="auto"/>
        <w:ind w:left="720"/>
        <w:rPr>
          <w:rFonts w:ascii="Arial" w:hAnsi="Arial" w:cs="Arial"/>
        </w:rPr>
      </w:pPr>
      <w:r w:rsidRPr="000C739E">
        <w:rPr>
          <w:rFonts w:ascii="Arial" w:hAnsi="Arial" w:cs="Arial"/>
        </w:rPr>
        <w:t>Commitment to Health Improvement &amp; Quality / Cost Transparency</w:t>
      </w:r>
    </w:p>
    <w:p w14:paraId="08C8C8AB" w14:textId="77777777" w:rsidR="00A53271" w:rsidRPr="000C739E" w:rsidRDefault="00A53271" w:rsidP="00A53271">
      <w:pPr>
        <w:numPr>
          <w:ilvl w:val="0"/>
          <w:numId w:val="14"/>
        </w:numPr>
        <w:tabs>
          <w:tab w:val="clear" w:pos="2880"/>
          <w:tab w:val="num" w:pos="720"/>
        </w:tabs>
        <w:spacing w:line="360" w:lineRule="auto"/>
        <w:ind w:left="720"/>
        <w:rPr>
          <w:rFonts w:ascii="Arial" w:hAnsi="Arial" w:cs="Arial"/>
        </w:rPr>
      </w:pPr>
      <w:r w:rsidRPr="000C739E">
        <w:rPr>
          <w:rFonts w:ascii="Arial" w:hAnsi="Arial" w:cs="Arial"/>
        </w:rPr>
        <w:t xml:space="preserve">Ability to Support Migration to High Performing Networks / Providers </w:t>
      </w:r>
    </w:p>
    <w:p w14:paraId="19C6F96D" w14:textId="77777777" w:rsidR="00A53271" w:rsidRPr="000C739E" w:rsidRDefault="00A53271" w:rsidP="00A53271">
      <w:pPr>
        <w:numPr>
          <w:ilvl w:val="0"/>
          <w:numId w:val="14"/>
        </w:numPr>
        <w:tabs>
          <w:tab w:val="clear" w:pos="2880"/>
          <w:tab w:val="num" w:pos="720"/>
        </w:tabs>
        <w:spacing w:line="360" w:lineRule="auto"/>
        <w:ind w:left="720"/>
        <w:rPr>
          <w:rFonts w:ascii="Arial" w:hAnsi="Arial" w:cs="Arial"/>
        </w:rPr>
      </w:pPr>
      <w:r w:rsidRPr="000C739E">
        <w:rPr>
          <w:rFonts w:ascii="Arial" w:hAnsi="Arial" w:cs="Arial"/>
        </w:rPr>
        <w:t xml:space="preserve">Ability to Engage Employees in Health Improvement &amp; Clinical Programs </w:t>
      </w:r>
    </w:p>
    <w:p w14:paraId="015B9202"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0C739E">
        <w:rPr>
          <w:rFonts w:ascii="Arial" w:hAnsi="Arial" w:cs="Arial"/>
        </w:rPr>
        <w:t>Ability to Partner to help improve Care Delivery to those with Behavioral Health needs</w:t>
      </w:r>
    </w:p>
    <w:p w14:paraId="30FD0E2D" w14:textId="77777777" w:rsidR="00A53271" w:rsidRDefault="00A53271" w:rsidP="00A53271">
      <w:pPr>
        <w:spacing w:line="360" w:lineRule="auto"/>
        <w:rPr>
          <w:rFonts w:ascii="Arial" w:hAnsi="Arial" w:cs="Arial"/>
        </w:rPr>
      </w:pPr>
    </w:p>
    <w:p w14:paraId="771597B5" w14:textId="77777777" w:rsidR="00A53271" w:rsidRPr="004D253E" w:rsidRDefault="00A53271" w:rsidP="00A53271">
      <w:pPr>
        <w:spacing w:line="360" w:lineRule="auto"/>
        <w:ind w:left="360"/>
        <w:rPr>
          <w:rFonts w:ascii="Arial" w:hAnsi="Arial" w:cs="Arial"/>
          <w:b/>
          <w:bCs/>
          <w:sz w:val="24"/>
          <w:szCs w:val="24"/>
        </w:rPr>
      </w:pPr>
      <w:r w:rsidRPr="004D253E">
        <w:rPr>
          <w:rFonts w:ascii="Arial" w:eastAsia="Arial" w:hAnsi="Arial" w:cs="Arial"/>
          <w:b/>
          <w:bCs/>
          <w:sz w:val="24"/>
          <w:szCs w:val="24"/>
        </w:rPr>
        <w:t>Proposals will be evaluated based on the following criteria</w:t>
      </w:r>
    </w:p>
    <w:p w14:paraId="1269EB69"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Flexibility in administration and programmatic design,</w:t>
      </w:r>
    </w:p>
    <w:p w14:paraId="0478E58D"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Demonstrated ability to manage health plan costs over a long-term period,</w:t>
      </w:r>
    </w:p>
    <w:p w14:paraId="2D0B13DC"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Competitive pricing on a self-insured funding basis,</w:t>
      </w:r>
    </w:p>
    <w:p w14:paraId="1D05BD42"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 xml:space="preserve">Ability to provide support for various Federal &amp; State Compliance requirements, such as </w:t>
      </w:r>
      <w:proofErr w:type="spellStart"/>
      <w:r w:rsidRPr="00E520AE">
        <w:rPr>
          <w:rFonts w:ascii="Arial" w:hAnsi="Arial" w:cs="Arial"/>
        </w:rPr>
        <w:t>RxDC</w:t>
      </w:r>
      <w:proofErr w:type="spellEnd"/>
      <w:r w:rsidRPr="00E520AE">
        <w:rPr>
          <w:rFonts w:ascii="Arial" w:hAnsi="Arial" w:cs="Arial"/>
        </w:rPr>
        <w:t xml:space="preserve"> and other CAA requirements,</w:t>
      </w:r>
    </w:p>
    <w:p w14:paraId="003A5AC2"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 xml:space="preserve">Demonstration of collaboration with health systems to improve quality and address costs, </w:t>
      </w:r>
    </w:p>
    <w:p w14:paraId="59B8666B"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 xml:space="preserve">Development of Centers of Excellence and/or High Performing Networks, </w:t>
      </w:r>
    </w:p>
    <w:p w14:paraId="123DFB94"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Proven ability to provide the highest level of service in plan administration and claims adjudication,</w:t>
      </w:r>
    </w:p>
    <w:p w14:paraId="6EE9236C"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Reputation for providing quality care services,</w:t>
      </w:r>
    </w:p>
    <w:p w14:paraId="0100CB18"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Thorough understanding of contract responsibility,</w:t>
      </w:r>
    </w:p>
    <w:p w14:paraId="167BF7B7"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 xml:space="preserve">Highly skilled, qualified, and experienced team, </w:t>
      </w:r>
    </w:p>
    <w:p w14:paraId="2CDAF077"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 xml:space="preserve">Valuable and timely statistical and compliance reporting, </w:t>
      </w:r>
    </w:p>
    <w:p w14:paraId="6647C10F"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 xml:space="preserve">Effective communications and implementation strategy, </w:t>
      </w:r>
    </w:p>
    <w:p w14:paraId="69C64B01" w14:textId="77777777" w:rsidR="00A53271"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Ability to partner with UMS and its other vendor partners on integration efforts, and</w:t>
      </w:r>
    </w:p>
    <w:p w14:paraId="773852C1" w14:textId="77777777" w:rsidR="00A53271" w:rsidRPr="00E520AE" w:rsidRDefault="00A53271" w:rsidP="00A53271">
      <w:pPr>
        <w:numPr>
          <w:ilvl w:val="0"/>
          <w:numId w:val="14"/>
        </w:numPr>
        <w:tabs>
          <w:tab w:val="clear" w:pos="2880"/>
          <w:tab w:val="num" w:pos="720"/>
        </w:tabs>
        <w:spacing w:line="360" w:lineRule="auto"/>
        <w:ind w:left="720"/>
        <w:rPr>
          <w:rFonts w:ascii="Arial" w:hAnsi="Arial" w:cs="Arial"/>
        </w:rPr>
      </w:pPr>
      <w:r w:rsidRPr="00E520AE">
        <w:rPr>
          <w:rFonts w:ascii="Arial" w:hAnsi="Arial" w:cs="Arial"/>
        </w:rPr>
        <w:t xml:space="preserve">Willingness to implement meaningful </w:t>
      </w:r>
      <w:r w:rsidRPr="00E520AE">
        <w:rPr>
          <w:rFonts w:ascii="Arial" w:hAnsi="Arial" w:cs="Arial"/>
          <w:b/>
        </w:rPr>
        <w:t>Performance Guarantees</w:t>
      </w:r>
      <w:r w:rsidRPr="00E520AE">
        <w:rPr>
          <w:rFonts w:ascii="Arial" w:hAnsi="Arial" w:cs="Arial"/>
        </w:rPr>
        <w:t>.</w:t>
      </w:r>
    </w:p>
    <w:p w14:paraId="46CBBDCF" w14:textId="77777777" w:rsidR="00A53271" w:rsidRPr="00125BE5" w:rsidRDefault="00A53271" w:rsidP="00A53271">
      <w:pPr>
        <w:pBdr>
          <w:top w:val="nil"/>
          <w:left w:val="nil"/>
          <w:bottom w:val="nil"/>
          <w:right w:val="nil"/>
          <w:between w:val="nil"/>
        </w:pBdr>
        <w:jc w:val="both"/>
        <w:rPr>
          <w:rFonts w:ascii="Arial" w:eastAsia="Arial" w:hAnsi="Arial" w:cs="Arial"/>
        </w:rPr>
      </w:pPr>
    </w:p>
    <w:p w14:paraId="100C7FC7" w14:textId="58DBBC1D" w:rsidR="003D655D" w:rsidRPr="00A53271" w:rsidRDefault="00A53271" w:rsidP="00A53271">
      <w:pPr>
        <w:pBdr>
          <w:top w:val="nil"/>
          <w:left w:val="nil"/>
          <w:bottom w:val="nil"/>
          <w:right w:val="nil"/>
          <w:between w:val="nil"/>
        </w:pBdr>
        <w:jc w:val="both"/>
        <w:rPr>
          <w:rFonts w:ascii="Arial" w:eastAsia="Arial" w:hAnsi="Arial" w:cs="Arial"/>
        </w:rPr>
      </w:pPr>
      <w:r w:rsidRPr="00125BE5">
        <w:rPr>
          <w:rFonts w:ascii="Arial" w:eastAsia="Arial" w:hAnsi="Arial" w:cs="Arial"/>
        </w:rPr>
        <w:t xml:space="preserve">University of Maine System and Willis Towers Watson consider </w:t>
      </w:r>
      <w:r>
        <w:rPr>
          <w:rFonts w:ascii="Arial" w:eastAsia="Arial" w:hAnsi="Arial" w:cs="Arial"/>
        </w:rPr>
        <w:t>these objectives</w:t>
      </w:r>
      <w:r w:rsidRPr="00125BE5">
        <w:rPr>
          <w:rFonts w:ascii="Arial" w:eastAsia="Arial" w:hAnsi="Arial" w:cs="Arial"/>
        </w:rPr>
        <w:t xml:space="preserve"> to be a very important undertaking and expect to work closely with the selected vendor both during the installation process and on an ongoing basis to ensure minimal disruption to members and their continued satisfaction with the program.</w:t>
      </w: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Default="00C5489C" w:rsidP="00C5489C">
      <w:pPr>
        <w:autoSpaceDE w:val="0"/>
        <w:autoSpaceDN w:val="0"/>
        <w:rPr>
          <w:rFonts w:ascii="Arial" w:hAnsi="Arial" w:cs="Arial"/>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43F8ADEE" w14:textId="77777777" w:rsidR="00A53271" w:rsidRDefault="00A53271" w:rsidP="00C5489C">
      <w:pPr>
        <w:autoSpaceDE w:val="0"/>
        <w:autoSpaceDN w:val="0"/>
        <w:rPr>
          <w:rFonts w:ascii="Arial" w:hAnsi="Arial" w:cs="Arial"/>
        </w:rPr>
      </w:pPr>
    </w:p>
    <w:p w14:paraId="37DED4E5" w14:textId="77777777" w:rsidR="00A53271" w:rsidRPr="005C2892" w:rsidRDefault="00A53271" w:rsidP="00C5489C">
      <w:pPr>
        <w:autoSpaceDE w:val="0"/>
        <w:autoSpaceDN w:val="0"/>
        <w:rPr>
          <w:rFonts w:ascii="Arial" w:hAnsi="Arial" w:cs="Arial"/>
          <w:b/>
        </w:rPr>
      </w:pPr>
    </w:p>
    <w:p w14:paraId="250098BD" w14:textId="77777777" w:rsidR="00C5489C" w:rsidRPr="005C2892" w:rsidRDefault="00C5489C">
      <w:pPr>
        <w:rPr>
          <w:rFonts w:ascii="Arial" w:hAnsi="Arial" w:cs="Arial"/>
        </w:rPr>
      </w:pPr>
    </w:p>
    <w:p w14:paraId="080B0EAF" w14:textId="4337F502" w:rsidR="00C5489C" w:rsidRPr="00646FC8" w:rsidRDefault="00C5489C" w:rsidP="00646FC8">
      <w:pPr>
        <w:pStyle w:val="Default"/>
        <w:rPr>
          <w:rFonts w:ascii="Arial" w:hAnsi="Arial" w:cs="Arial"/>
          <w:b/>
          <w:color w:val="auto"/>
          <w:sz w:val="20"/>
          <w:szCs w:val="20"/>
        </w:rPr>
      </w:pPr>
      <w:r w:rsidRPr="005C2892">
        <w:rPr>
          <w:rFonts w:ascii="Arial" w:hAnsi="Arial" w:cs="Arial"/>
          <w:b/>
          <w:color w:val="auto"/>
          <w:sz w:val="20"/>
          <w:szCs w:val="20"/>
        </w:rPr>
        <w:lastRenderedPageBreak/>
        <w:t>PERFORMANCE TERMS AND CONDITIONS</w:t>
      </w: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xml:space="preserve">: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w:t>
      </w:r>
      <w:proofErr w:type="gramStart"/>
      <w:r w:rsidRPr="005C2892">
        <w:rPr>
          <w:rFonts w:ascii="Arial" w:eastAsia="Calibri" w:hAnsi="Arial" w:cs="Arial"/>
          <w:color w:val="auto"/>
          <w:sz w:val="20"/>
          <w:szCs w:val="20"/>
        </w:rPr>
        <w:t>upper level</w:t>
      </w:r>
      <w:proofErr w:type="gramEnd"/>
      <w:r w:rsidRPr="005C2892">
        <w:rPr>
          <w:rFonts w:ascii="Arial" w:eastAsia="Calibri" w:hAnsi="Arial" w:cs="Arial"/>
          <w:color w:val="auto"/>
          <w:sz w:val="20"/>
          <w:szCs w:val="20"/>
        </w:rPr>
        <w:t xml:space="preserve">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236689D"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4277EE">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26659DF4" w14:textId="0A069954" w:rsidR="0013376A" w:rsidRPr="009E5CB2" w:rsidRDefault="00606711" w:rsidP="009E5CB2">
      <w:pPr>
        <w:pStyle w:val="Default"/>
        <w:numPr>
          <w:ilvl w:val="0"/>
          <w:numId w:val="10"/>
        </w:numPr>
        <w:jc w:val="both"/>
        <w:rPr>
          <w:rFonts w:ascii="Arial" w:hAnsi="Arial" w:cs="Arial"/>
          <w:color w:val="auto"/>
          <w:sz w:val="20"/>
          <w:szCs w:val="20"/>
        </w:rPr>
      </w:pPr>
      <w:r w:rsidRPr="004277EE">
        <w:rPr>
          <w:rFonts w:ascii="Arial" w:hAnsi="Arial" w:cs="Arial"/>
          <w:b/>
          <w:sz w:val="20"/>
          <w:szCs w:val="20"/>
        </w:rPr>
        <w:t>Standards for Safeguarding Information:</w:t>
      </w:r>
      <w:r w:rsidRPr="004277EE">
        <w:rPr>
          <w:rFonts w:ascii="Arial" w:hAnsi="Arial" w:cs="Arial"/>
          <w:sz w:val="20"/>
          <w:szCs w:val="20"/>
        </w:rPr>
        <w:t xml:space="preserve">  The Contractor is expected to comply with these standards as outlined in </w:t>
      </w:r>
      <w:r w:rsidR="00F313A7" w:rsidRPr="004277EE">
        <w:rPr>
          <w:rFonts w:ascii="Arial" w:hAnsi="Arial" w:cs="Arial"/>
          <w:b/>
          <w:i/>
          <w:sz w:val="20"/>
          <w:szCs w:val="20"/>
        </w:rPr>
        <w:t xml:space="preserve">Rider </w:t>
      </w:r>
      <w:r w:rsidRPr="004277EE">
        <w:rPr>
          <w:rFonts w:ascii="Arial" w:hAnsi="Arial" w:cs="Arial"/>
          <w:b/>
          <w:i/>
          <w:sz w:val="20"/>
          <w:szCs w:val="20"/>
        </w:rPr>
        <w:t>C - University of Maine System Standards for Safeguarding Information</w:t>
      </w:r>
      <w:r w:rsidRPr="004277EE">
        <w:rPr>
          <w:rFonts w:ascii="Arial" w:hAnsi="Arial" w:cs="Arial"/>
          <w:sz w:val="20"/>
          <w:szCs w:val="20"/>
        </w:rPr>
        <w:t xml:space="preserve">.  </w:t>
      </w:r>
      <w:r w:rsidRPr="004277EE">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758CED29" w:rsidR="002E363F" w:rsidRPr="004D0C27" w:rsidRDefault="004D0C27" w:rsidP="002E363F">
      <w:pPr>
        <w:jc w:val="both"/>
        <w:rPr>
          <w:rFonts w:ascii="Arial" w:hAnsi="Arial" w:cs="Arial"/>
          <w:b/>
          <w:color w:val="FF0000"/>
          <w:szCs w:val="22"/>
        </w:rPr>
      </w:pPr>
      <w:r w:rsidRPr="004D0C27">
        <w:rPr>
          <w:rFonts w:ascii="Arial" w:hAnsi="Arial" w:cs="Arial"/>
          <w:b/>
          <w:color w:val="FF0000"/>
          <w:szCs w:val="22"/>
        </w:rPr>
        <w:t>&lt;&lt;ENTER PRICING TABLES HERE&gt;&gt;</w:t>
      </w:r>
    </w:p>
    <w:p w14:paraId="7CC1F598" w14:textId="77777777" w:rsidR="004556B4" w:rsidRDefault="004556B4"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Certificates of Insurance for </w:t>
      </w:r>
      <w:proofErr w:type="gramStart"/>
      <w:r w:rsidRPr="002010E7">
        <w:rPr>
          <w:rFonts w:ascii="Arial" w:hAnsi="Arial" w:cs="Arial"/>
          <w:sz w:val="18"/>
          <w:szCs w:val="18"/>
        </w:rPr>
        <w:t>all of</w:t>
      </w:r>
      <w:proofErr w:type="gramEnd"/>
      <w:r w:rsidRPr="002010E7">
        <w:rPr>
          <w:rFonts w:ascii="Arial" w:hAnsi="Arial" w:cs="Arial"/>
          <w:sz w:val="18"/>
          <w:szCs w:val="18"/>
        </w:rPr>
        <w:t xml:space="preserve">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rPr>
        <w:t>University</w:t>
      </w:r>
      <w:proofErr w:type="gramEnd"/>
      <w:r w:rsidRPr="009355B1">
        <w:rPr>
          <w:rFonts w:ascii="Arial" w:hAnsi="Arial" w:cs="Arial"/>
        </w:rPr>
        <w:t xml:space="preserve">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In the event that Contractor determines that returning or destroying any such information is infeasible, Contractor shall provide to </w:t>
      </w:r>
      <w:proofErr w:type="gramStart"/>
      <w:r w:rsidRPr="009355B1">
        <w:rPr>
          <w:rFonts w:ascii="Arial" w:hAnsi="Arial" w:cs="Arial"/>
        </w:rPr>
        <w:t>University</w:t>
      </w:r>
      <w:proofErr w:type="gramEnd"/>
      <w:r w:rsidRPr="009355B1">
        <w:rPr>
          <w:rFonts w:ascii="Arial" w:hAnsi="Arial" w:cs="Arial"/>
        </w:rPr>
        <w:t xml:space="preserve"> notification of the conditions that make return or destruction infeasible.  Upon mutual agreement of the Parties that </w:t>
      </w:r>
      <w:proofErr w:type="gramStart"/>
      <w:r w:rsidRPr="009355B1">
        <w:rPr>
          <w:rFonts w:ascii="Arial" w:hAnsi="Arial" w:cs="Arial"/>
        </w:rPr>
        <w:t>return</w:t>
      </w:r>
      <w:proofErr w:type="gramEnd"/>
      <w:r w:rsidRPr="009355B1">
        <w:rPr>
          <w:rFonts w:ascii="Arial" w:hAnsi="Arial" w:cs="Arial"/>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Contractor engages in electronic commerce on behalf of the University or cardholder data relating to </w:t>
      </w:r>
      <w:proofErr w:type="gramStart"/>
      <w:r w:rsidRPr="009355B1">
        <w:rPr>
          <w:rFonts w:ascii="Arial" w:hAnsi="Arial" w:cs="Arial"/>
        </w:rPr>
        <w:t>University</w:t>
      </w:r>
      <w:proofErr w:type="gramEnd"/>
      <w:r w:rsidRPr="009355B1">
        <w:rPr>
          <w:rFonts w:ascii="Arial" w:hAnsi="Arial" w:cs="Arial"/>
        </w:rPr>
        <w:t xml:space="preserve">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94768DA" w:rsidR="00A72EAE" w:rsidRPr="000F11E9" w:rsidRDefault="00A72EAE">
      <w:pPr>
        <w:spacing w:after="160" w:line="259" w:lineRule="auto"/>
        <w:rPr>
          <w:rFonts w:ascii="Arial" w:hAnsi="Arial" w:cs="Arial"/>
          <w:sz w:val="22"/>
          <w:szCs w:val="22"/>
        </w:rPr>
      </w:pPr>
    </w:p>
    <w:sectPr w:rsidR="00A72EAE" w:rsidRPr="000F11E9"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4D00" w14:textId="77777777" w:rsidR="001F45D8" w:rsidRDefault="001F45D8" w:rsidP="000B28D4">
      <w:r>
        <w:separator/>
      </w:r>
    </w:p>
  </w:endnote>
  <w:endnote w:type="continuationSeparator" w:id="0">
    <w:p w14:paraId="2CBE6AB6" w14:textId="77777777" w:rsidR="001F45D8" w:rsidRDefault="001F45D8"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DB07" w14:textId="77777777" w:rsidR="00646FC8" w:rsidRDefault="00646FC8" w:rsidP="002E363F">
    <w:pPr>
      <w:pStyle w:val="Footer"/>
      <w:jc w:val="both"/>
      <w:rPr>
        <w:rFonts w:ascii="Arial" w:hAnsi="Arial" w:cs="Arial"/>
        <w:color w:val="7F7F7F"/>
        <w:spacing w:val="60"/>
        <w:sz w:val="16"/>
        <w:szCs w:val="16"/>
      </w:rPr>
    </w:pPr>
  </w:p>
  <w:p w14:paraId="5EE32889" w14:textId="13499460" w:rsidR="00B72FB9" w:rsidRPr="00646FC8" w:rsidRDefault="00B72FB9"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UMS - Contract for Services</w:t>
    </w:r>
    <w:r w:rsidR="00AE7B84" w:rsidRPr="00646FC8">
      <w:rPr>
        <w:rFonts w:ascii="Arial" w:hAnsi="Arial" w:cs="Arial"/>
        <w:color w:val="808080" w:themeColor="background1" w:themeShade="80"/>
        <w:spacing w:val="60"/>
        <w:sz w:val="16"/>
        <w:szCs w:val="16"/>
      </w:rPr>
      <w:t xml:space="preserve"> (Rev. 0</w:t>
    </w:r>
    <w:r w:rsidR="00A003A4" w:rsidRPr="00646FC8">
      <w:rPr>
        <w:rFonts w:ascii="Arial" w:hAnsi="Arial" w:cs="Arial"/>
        <w:color w:val="808080" w:themeColor="background1" w:themeShade="80"/>
        <w:spacing w:val="60"/>
        <w:sz w:val="16"/>
        <w:szCs w:val="16"/>
      </w:rPr>
      <w:t>7</w:t>
    </w:r>
    <w:r w:rsidR="00AE7B84" w:rsidRPr="00646FC8">
      <w:rPr>
        <w:rFonts w:ascii="Arial" w:hAnsi="Arial" w:cs="Arial"/>
        <w:color w:val="808080" w:themeColor="background1" w:themeShade="80"/>
        <w:spacing w:val="60"/>
        <w:sz w:val="16"/>
        <w:szCs w:val="16"/>
      </w:rPr>
      <w:t>/20</w:t>
    </w:r>
    <w:r w:rsidR="00A003A4" w:rsidRPr="00646FC8">
      <w:rPr>
        <w:rFonts w:ascii="Arial" w:hAnsi="Arial" w:cs="Arial"/>
        <w:color w:val="808080" w:themeColor="background1" w:themeShade="80"/>
        <w:spacing w:val="60"/>
        <w:sz w:val="16"/>
        <w:szCs w:val="16"/>
      </w:rPr>
      <w:t>20</w:t>
    </w:r>
    <w:r w:rsidRPr="00646FC8">
      <w:rPr>
        <w:rFonts w:ascii="Arial" w:hAnsi="Arial" w:cs="Arial"/>
        <w:color w:val="808080" w:themeColor="background1" w:themeShade="80"/>
        <w:spacing w:val="60"/>
        <w:sz w:val="16"/>
        <w:szCs w:val="16"/>
      </w:rPr>
      <w:t>)</w:t>
    </w:r>
    <w:r w:rsidRPr="00646FC8">
      <w:rPr>
        <w:rFonts w:ascii="Arial" w:hAnsi="Arial" w:cs="Arial"/>
        <w:color w:val="808080" w:themeColor="background1" w:themeShade="80"/>
        <w:spacing w:val="60"/>
        <w:sz w:val="16"/>
        <w:szCs w:val="16"/>
      </w:rPr>
      <w:tab/>
      <w:t xml:space="preserve">Page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PAGE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10</w:t>
    </w:r>
    <w:r w:rsidRPr="00646FC8">
      <w:rPr>
        <w:rFonts w:ascii="Arial" w:hAnsi="Arial" w:cs="Arial"/>
        <w:b/>
        <w:bCs/>
        <w:color w:val="808080" w:themeColor="background1" w:themeShade="80"/>
        <w:spacing w:val="60"/>
        <w:sz w:val="16"/>
        <w:szCs w:val="16"/>
      </w:rPr>
      <w:fldChar w:fldCharType="end"/>
    </w:r>
    <w:r w:rsidRPr="00646FC8">
      <w:rPr>
        <w:rFonts w:ascii="Arial" w:hAnsi="Arial" w:cs="Arial"/>
        <w:color w:val="808080" w:themeColor="background1" w:themeShade="80"/>
        <w:spacing w:val="60"/>
        <w:sz w:val="16"/>
        <w:szCs w:val="16"/>
      </w:rPr>
      <w:t xml:space="preserve"> of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NUMPAGES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17</w:t>
    </w:r>
    <w:r w:rsidRPr="00646FC8">
      <w:rPr>
        <w:rFonts w:ascii="Arial" w:hAnsi="Arial" w:cs="Arial"/>
        <w:b/>
        <w:bCs/>
        <w:color w:val="808080" w:themeColor="background1" w:themeShade="80"/>
        <w:spacing w:val="60"/>
        <w:sz w:val="16"/>
        <w:szCs w:val="16"/>
      </w:rPr>
      <w:fldChar w:fldCharType="end"/>
    </w:r>
  </w:p>
  <w:p w14:paraId="4B96EF9A" w14:textId="3E02FA50" w:rsidR="00B72FB9" w:rsidRPr="00646FC8" w:rsidRDefault="00B72FB9"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 xml:space="preserve">Dated </w:t>
    </w:r>
    <w:r w:rsidR="00646FC8" w:rsidRPr="00646FC8">
      <w:rPr>
        <w:rFonts w:ascii="Arial" w:hAnsi="Arial" w:cs="Arial"/>
        <w:color w:val="808080" w:themeColor="background1" w:themeShade="80"/>
        <w:spacing w:val="60"/>
        <w:sz w:val="16"/>
        <w:szCs w:val="16"/>
      </w:rPr>
      <w:t>January 1,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3560" w14:textId="1419AE9D" w:rsidR="002E363F" w:rsidRPr="00646FC8" w:rsidRDefault="002E363F"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 xml:space="preserve">UMS - Contract for Services (Rev. </w:t>
    </w:r>
    <w:r w:rsidR="00F313A7" w:rsidRPr="00646FC8">
      <w:rPr>
        <w:rFonts w:ascii="Arial" w:hAnsi="Arial" w:cs="Arial"/>
        <w:color w:val="808080" w:themeColor="background1" w:themeShade="80"/>
        <w:spacing w:val="60"/>
        <w:sz w:val="16"/>
        <w:szCs w:val="16"/>
      </w:rPr>
      <w:t>0</w:t>
    </w:r>
    <w:r w:rsidR="00ED5C39" w:rsidRPr="00646FC8">
      <w:rPr>
        <w:rFonts w:ascii="Arial" w:hAnsi="Arial" w:cs="Arial"/>
        <w:color w:val="808080" w:themeColor="background1" w:themeShade="80"/>
        <w:spacing w:val="60"/>
        <w:sz w:val="16"/>
        <w:szCs w:val="16"/>
      </w:rPr>
      <w:t>7</w:t>
    </w:r>
    <w:r w:rsidR="00F313A7" w:rsidRPr="00646FC8">
      <w:rPr>
        <w:rFonts w:ascii="Arial" w:hAnsi="Arial" w:cs="Arial"/>
        <w:color w:val="808080" w:themeColor="background1" w:themeShade="80"/>
        <w:spacing w:val="60"/>
        <w:sz w:val="16"/>
        <w:szCs w:val="16"/>
      </w:rPr>
      <w:t>/20</w:t>
    </w:r>
    <w:r w:rsidR="00A003A4" w:rsidRPr="00646FC8">
      <w:rPr>
        <w:rFonts w:ascii="Arial" w:hAnsi="Arial" w:cs="Arial"/>
        <w:color w:val="808080" w:themeColor="background1" w:themeShade="80"/>
        <w:spacing w:val="60"/>
        <w:sz w:val="16"/>
        <w:szCs w:val="16"/>
      </w:rPr>
      <w:t>20</w:t>
    </w:r>
    <w:r w:rsidRPr="00646FC8">
      <w:rPr>
        <w:rFonts w:ascii="Arial" w:hAnsi="Arial" w:cs="Arial"/>
        <w:color w:val="808080" w:themeColor="background1" w:themeShade="80"/>
        <w:spacing w:val="60"/>
        <w:sz w:val="16"/>
        <w:szCs w:val="16"/>
      </w:rPr>
      <w:t>)</w:t>
    </w:r>
    <w:r w:rsidRPr="00646FC8">
      <w:rPr>
        <w:rFonts w:ascii="Arial" w:hAnsi="Arial" w:cs="Arial"/>
        <w:color w:val="808080" w:themeColor="background1" w:themeShade="80"/>
        <w:spacing w:val="60"/>
        <w:sz w:val="16"/>
        <w:szCs w:val="16"/>
      </w:rPr>
      <w:tab/>
      <w:t xml:space="preserve">Page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PAGE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17</w:t>
    </w:r>
    <w:r w:rsidRPr="00646FC8">
      <w:rPr>
        <w:rFonts w:ascii="Arial" w:hAnsi="Arial" w:cs="Arial"/>
        <w:b/>
        <w:bCs/>
        <w:color w:val="808080" w:themeColor="background1" w:themeShade="80"/>
        <w:spacing w:val="60"/>
        <w:sz w:val="16"/>
        <w:szCs w:val="16"/>
      </w:rPr>
      <w:fldChar w:fldCharType="end"/>
    </w:r>
    <w:r w:rsidRPr="00646FC8">
      <w:rPr>
        <w:rFonts w:ascii="Arial" w:hAnsi="Arial" w:cs="Arial"/>
        <w:color w:val="808080" w:themeColor="background1" w:themeShade="80"/>
        <w:spacing w:val="60"/>
        <w:sz w:val="16"/>
        <w:szCs w:val="16"/>
      </w:rPr>
      <w:t xml:space="preserve"> of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NUMPAGES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17</w:t>
    </w:r>
    <w:r w:rsidRPr="00646FC8">
      <w:rPr>
        <w:rFonts w:ascii="Arial" w:hAnsi="Arial" w:cs="Arial"/>
        <w:b/>
        <w:bCs/>
        <w:color w:val="808080" w:themeColor="background1" w:themeShade="80"/>
        <w:spacing w:val="60"/>
        <w:sz w:val="16"/>
        <w:szCs w:val="16"/>
      </w:rPr>
      <w:fldChar w:fldCharType="end"/>
    </w:r>
  </w:p>
  <w:p w14:paraId="290C7A92" w14:textId="3D674DB9" w:rsidR="00C308E2" w:rsidRPr="00646FC8" w:rsidRDefault="002E363F"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 xml:space="preserve">Dated </w:t>
    </w:r>
    <w:r w:rsidR="00646FC8" w:rsidRPr="00646FC8">
      <w:rPr>
        <w:rFonts w:ascii="Arial" w:hAnsi="Arial" w:cs="Arial"/>
        <w:color w:val="808080" w:themeColor="background1" w:themeShade="80"/>
        <w:spacing w:val="60"/>
        <w:sz w:val="16"/>
        <w:szCs w:val="16"/>
      </w:rPr>
      <w:t>January 1,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E5AC" w14:textId="77777777" w:rsidR="001F45D8" w:rsidRDefault="001F45D8" w:rsidP="000B28D4">
      <w:r>
        <w:separator/>
      </w:r>
    </w:p>
  </w:footnote>
  <w:footnote w:type="continuationSeparator" w:id="0">
    <w:p w14:paraId="31DC2BAA" w14:textId="77777777" w:rsidR="001F45D8" w:rsidRDefault="001F45D8"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9B815"/>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F34F6"/>
    <w:multiLevelType w:val="multilevel"/>
    <w:tmpl w:val="E08AAA1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2"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6"/>
  </w:num>
  <w:num w:numId="2" w16cid:durableId="802576705">
    <w:abstractNumId w:val="1"/>
  </w:num>
  <w:num w:numId="3" w16cid:durableId="1899586995">
    <w:abstractNumId w:val="3"/>
  </w:num>
  <w:num w:numId="4" w16cid:durableId="1366715474">
    <w:abstractNumId w:val="8"/>
  </w:num>
  <w:num w:numId="5" w16cid:durableId="1074089562">
    <w:abstractNumId w:val="10"/>
  </w:num>
  <w:num w:numId="6" w16cid:durableId="2109499473">
    <w:abstractNumId w:val="13"/>
  </w:num>
  <w:num w:numId="7" w16cid:durableId="748579698">
    <w:abstractNumId w:val="0"/>
  </w:num>
  <w:num w:numId="8" w16cid:durableId="337584862">
    <w:abstractNumId w:val="7"/>
  </w:num>
  <w:num w:numId="9" w16cid:durableId="773403340">
    <w:abstractNumId w:val="12"/>
  </w:num>
  <w:num w:numId="10" w16cid:durableId="1158425313">
    <w:abstractNumId w:val="4"/>
  </w:num>
  <w:num w:numId="11" w16cid:durableId="1472866969">
    <w:abstractNumId w:val="5"/>
  </w:num>
  <w:num w:numId="12" w16cid:durableId="1111894077">
    <w:abstractNumId w:val="2"/>
  </w:num>
  <w:num w:numId="13" w16cid:durableId="230585412">
    <w:abstractNumId w:val="9"/>
  </w:num>
  <w:num w:numId="14" w16cid:durableId="1094668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14A1"/>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0E7C"/>
    <w:rsid w:val="001129D3"/>
    <w:rsid w:val="00121113"/>
    <w:rsid w:val="0012155B"/>
    <w:rsid w:val="001267E8"/>
    <w:rsid w:val="001311C3"/>
    <w:rsid w:val="0013376A"/>
    <w:rsid w:val="00143B54"/>
    <w:rsid w:val="001450D2"/>
    <w:rsid w:val="00170445"/>
    <w:rsid w:val="00172819"/>
    <w:rsid w:val="001848E6"/>
    <w:rsid w:val="0018669F"/>
    <w:rsid w:val="001A2315"/>
    <w:rsid w:val="001A2F0A"/>
    <w:rsid w:val="001A4EE0"/>
    <w:rsid w:val="001B25A4"/>
    <w:rsid w:val="001B2D6B"/>
    <w:rsid w:val="001B7EC5"/>
    <w:rsid w:val="001C0CAB"/>
    <w:rsid w:val="001C1048"/>
    <w:rsid w:val="001C3F81"/>
    <w:rsid w:val="001E1AB9"/>
    <w:rsid w:val="001F45D8"/>
    <w:rsid w:val="002010E7"/>
    <w:rsid w:val="00206D8C"/>
    <w:rsid w:val="002201C3"/>
    <w:rsid w:val="00222A03"/>
    <w:rsid w:val="00223111"/>
    <w:rsid w:val="00225566"/>
    <w:rsid w:val="00230375"/>
    <w:rsid w:val="00231623"/>
    <w:rsid w:val="00232D90"/>
    <w:rsid w:val="00241BFF"/>
    <w:rsid w:val="00241DA9"/>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563E"/>
    <w:rsid w:val="002F5763"/>
    <w:rsid w:val="00306CB5"/>
    <w:rsid w:val="003158EF"/>
    <w:rsid w:val="00315DB3"/>
    <w:rsid w:val="00320340"/>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293E"/>
    <w:rsid w:val="00394413"/>
    <w:rsid w:val="003953BA"/>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277EE"/>
    <w:rsid w:val="00434F4B"/>
    <w:rsid w:val="00437E54"/>
    <w:rsid w:val="00452913"/>
    <w:rsid w:val="004556B4"/>
    <w:rsid w:val="00456062"/>
    <w:rsid w:val="00460DF9"/>
    <w:rsid w:val="0046529E"/>
    <w:rsid w:val="004667F3"/>
    <w:rsid w:val="00474DAB"/>
    <w:rsid w:val="00475F08"/>
    <w:rsid w:val="004874B9"/>
    <w:rsid w:val="00494719"/>
    <w:rsid w:val="004A3CEA"/>
    <w:rsid w:val="004A4517"/>
    <w:rsid w:val="004B39E6"/>
    <w:rsid w:val="004B3C76"/>
    <w:rsid w:val="004B68AC"/>
    <w:rsid w:val="004C0A14"/>
    <w:rsid w:val="004C2251"/>
    <w:rsid w:val="004C57C0"/>
    <w:rsid w:val="004C7F00"/>
    <w:rsid w:val="004D0C27"/>
    <w:rsid w:val="004D1871"/>
    <w:rsid w:val="004D22E0"/>
    <w:rsid w:val="004D62F2"/>
    <w:rsid w:val="004D7968"/>
    <w:rsid w:val="004F3579"/>
    <w:rsid w:val="004F5C0B"/>
    <w:rsid w:val="005000F3"/>
    <w:rsid w:val="005032A3"/>
    <w:rsid w:val="00503CE1"/>
    <w:rsid w:val="0050652D"/>
    <w:rsid w:val="0051502C"/>
    <w:rsid w:val="0052173D"/>
    <w:rsid w:val="00526907"/>
    <w:rsid w:val="00526CA9"/>
    <w:rsid w:val="005276D8"/>
    <w:rsid w:val="00532FA6"/>
    <w:rsid w:val="005406A0"/>
    <w:rsid w:val="00547EAE"/>
    <w:rsid w:val="00562DDD"/>
    <w:rsid w:val="00567B65"/>
    <w:rsid w:val="00576CE4"/>
    <w:rsid w:val="00577003"/>
    <w:rsid w:val="00577C99"/>
    <w:rsid w:val="0058312E"/>
    <w:rsid w:val="00584A39"/>
    <w:rsid w:val="0058605E"/>
    <w:rsid w:val="00587718"/>
    <w:rsid w:val="00597F47"/>
    <w:rsid w:val="005A0CE5"/>
    <w:rsid w:val="005A45EB"/>
    <w:rsid w:val="005B10EA"/>
    <w:rsid w:val="005B1567"/>
    <w:rsid w:val="005B1E2A"/>
    <w:rsid w:val="005B5D7B"/>
    <w:rsid w:val="005B75F8"/>
    <w:rsid w:val="005C2892"/>
    <w:rsid w:val="005C5825"/>
    <w:rsid w:val="005C7BFE"/>
    <w:rsid w:val="005D122B"/>
    <w:rsid w:val="005D3A7A"/>
    <w:rsid w:val="005D5094"/>
    <w:rsid w:val="005D6470"/>
    <w:rsid w:val="005E0061"/>
    <w:rsid w:val="005E0C58"/>
    <w:rsid w:val="005E12F0"/>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46FC8"/>
    <w:rsid w:val="006653A2"/>
    <w:rsid w:val="006672A9"/>
    <w:rsid w:val="00677ABA"/>
    <w:rsid w:val="00680256"/>
    <w:rsid w:val="0068109E"/>
    <w:rsid w:val="006821CC"/>
    <w:rsid w:val="00691138"/>
    <w:rsid w:val="006959E8"/>
    <w:rsid w:val="00696683"/>
    <w:rsid w:val="006A44E1"/>
    <w:rsid w:val="006A78DB"/>
    <w:rsid w:val="006B27F8"/>
    <w:rsid w:val="006C4569"/>
    <w:rsid w:val="006C7CBE"/>
    <w:rsid w:val="006D374B"/>
    <w:rsid w:val="006E26DD"/>
    <w:rsid w:val="006E689A"/>
    <w:rsid w:val="006E6B87"/>
    <w:rsid w:val="006F1257"/>
    <w:rsid w:val="006F2557"/>
    <w:rsid w:val="006F274F"/>
    <w:rsid w:val="006F36DD"/>
    <w:rsid w:val="006F37C8"/>
    <w:rsid w:val="006F48C9"/>
    <w:rsid w:val="006F78BB"/>
    <w:rsid w:val="007000D3"/>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432"/>
    <w:rsid w:val="00764EE8"/>
    <w:rsid w:val="007655A3"/>
    <w:rsid w:val="0077490C"/>
    <w:rsid w:val="00777C88"/>
    <w:rsid w:val="00793AF9"/>
    <w:rsid w:val="007972C4"/>
    <w:rsid w:val="007B0773"/>
    <w:rsid w:val="007B0F68"/>
    <w:rsid w:val="007B18E6"/>
    <w:rsid w:val="007B29BB"/>
    <w:rsid w:val="007B5BC9"/>
    <w:rsid w:val="007B672E"/>
    <w:rsid w:val="007C438E"/>
    <w:rsid w:val="007E0613"/>
    <w:rsid w:val="007E1DBD"/>
    <w:rsid w:val="007E590A"/>
    <w:rsid w:val="007E7E66"/>
    <w:rsid w:val="007F042D"/>
    <w:rsid w:val="007F490B"/>
    <w:rsid w:val="00810C6E"/>
    <w:rsid w:val="00814714"/>
    <w:rsid w:val="00816D34"/>
    <w:rsid w:val="008177F9"/>
    <w:rsid w:val="00826A48"/>
    <w:rsid w:val="0083153E"/>
    <w:rsid w:val="0084243C"/>
    <w:rsid w:val="008425B3"/>
    <w:rsid w:val="00850697"/>
    <w:rsid w:val="00850E70"/>
    <w:rsid w:val="0085398A"/>
    <w:rsid w:val="008561A7"/>
    <w:rsid w:val="00865E59"/>
    <w:rsid w:val="00867ACF"/>
    <w:rsid w:val="00872A73"/>
    <w:rsid w:val="0087319C"/>
    <w:rsid w:val="00875E42"/>
    <w:rsid w:val="0088293D"/>
    <w:rsid w:val="008867AB"/>
    <w:rsid w:val="008956EC"/>
    <w:rsid w:val="008B55FF"/>
    <w:rsid w:val="008B6348"/>
    <w:rsid w:val="008C312B"/>
    <w:rsid w:val="008D3F98"/>
    <w:rsid w:val="008D4B7B"/>
    <w:rsid w:val="008D5D58"/>
    <w:rsid w:val="008E0F8D"/>
    <w:rsid w:val="008E609F"/>
    <w:rsid w:val="008F3979"/>
    <w:rsid w:val="008F5A0D"/>
    <w:rsid w:val="009011CF"/>
    <w:rsid w:val="009016C7"/>
    <w:rsid w:val="00902940"/>
    <w:rsid w:val="009054CE"/>
    <w:rsid w:val="009141B9"/>
    <w:rsid w:val="0093512A"/>
    <w:rsid w:val="0094190D"/>
    <w:rsid w:val="009671AB"/>
    <w:rsid w:val="00975670"/>
    <w:rsid w:val="009774F1"/>
    <w:rsid w:val="009900A1"/>
    <w:rsid w:val="009937FA"/>
    <w:rsid w:val="009A2C97"/>
    <w:rsid w:val="009A7251"/>
    <w:rsid w:val="009D1F3B"/>
    <w:rsid w:val="009D2CA2"/>
    <w:rsid w:val="009D5896"/>
    <w:rsid w:val="009D60A1"/>
    <w:rsid w:val="009D6306"/>
    <w:rsid w:val="009E3B7A"/>
    <w:rsid w:val="009E5CB2"/>
    <w:rsid w:val="009E7BEA"/>
    <w:rsid w:val="009F29A5"/>
    <w:rsid w:val="009F3FCD"/>
    <w:rsid w:val="009F7C44"/>
    <w:rsid w:val="00A003A4"/>
    <w:rsid w:val="00A117E2"/>
    <w:rsid w:val="00A23CE0"/>
    <w:rsid w:val="00A24FC5"/>
    <w:rsid w:val="00A25A11"/>
    <w:rsid w:val="00A44504"/>
    <w:rsid w:val="00A446E2"/>
    <w:rsid w:val="00A52D6E"/>
    <w:rsid w:val="00A53271"/>
    <w:rsid w:val="00A5493C"/>
    <w:rsid w:val="00A65C2D"/>
    <w:rsid w:val="00A67CB8"/>
    <w:rsid w:val="00A72EAE"/>
    <w:rsid w:val="00A762D8"/>
    <w:rsid w:val="00A81B88"/>
    <w:rsid w:val="00A92535"/>
    <w:rsid w:val="00A9583C"/>
    <w:rsid w:val="00AA175F"/>
    <w:rsid w:val="00AB1716"/>
    <w:rsid w:val="00AB2B6F"/>
    <w:rsid w:val="00AB4A12"/>
    <w:rsid w:val="00AC649D"/>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74A30"/>
    <w:rsid w:val="00B92BFA"/>
    <w:rsid w:val="00B96122"/>
    <w:rsid w:val="00BA395F"/>
    <w:rsid w:val="00BA765A"/>
    <w:rsid w:val="00BB2195"/>
    <w:rsid w:val="00BB35A0"/>
    <w:rsid w:val="00BC095B"/>
    <w:rsid w:val="00BC23E2"/>
    <w:rsid w:val="00BD3731"/>
    <w:rsid w:val="00BD610F"/>
    <w:rsid w:val="00BD6AF2"/>
    <w:rsid w:val="00BD6F55"/>
    <w:rsid w:val="00BE3462"/>
    <w:rsid w:val="00BE54E7"/>
    <w:rsid w:val="00BE5D9C"/>
    <w:rsid w:val="00C04421"/>
    <w:rsid w:val="00C1009A"/>
    <w:rsid w:val="00C1089A"/>
    <w:rsid w:val="00C14A5A"/>
    <w:rsid w:val="00C308E2"/>
    <w:rsid w:val="00C46F19"/>
    <w:rsid w:val="00C5489C"/>
    <w:rsid w:val="00C568CD"/>
    <w:rsid w:val="00C76E5A"/>
    <w:rsid w:val="00C77722"/>
    <w:rsid w:val="00C956E2"/>
    <w:rsid w:val="00C96585"/>
    <w:rsid w:val="00CB373C"/>
    <w:rsid w:val="00CB6784"/>
    <w:rsid w:val="00CB7C09"/>
    <w:rsid w:val="00CC344B"/>
    <w:rsid w:val="00CD54E0"/>
    <w:rsid w:val="00CD7F45"/>
    <w:rsid w:val="00CE33F5"/>
    <w:rsid w:val="00CE620D"/>
    <w:rsid w:val="00CE67A6"/>
    <w:rsid w:val="00CF07E4"/>
    <w:rsid w:val="00CF1CB9"/>
    <w:rsid w:val="00CF3095"/>
    <w:rsid w:val="00CF4D5C"/>
    <w:rsid w:val="00CF529C"/>
    <w:rsid w:val="00D00462"/>
    <w:rsid w:val="00D0441A"/>
    <w:rsid w:val="00D05DBF"/>
    <w:rsid w:val="00D11324"/>
    <w:rsid w:val="00D11D61"/>
    <w:rsid w:val="00D13538"/>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2C28"/>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17259"/>
    <w:rsid w:val="00E21445"/>
    <w:rsid w:val="00E26870"/>
    <w:rsid w:val="00E43DD1"/>
    <w:rsid w:val="00E44E5F"/>
    <w:rsid w:val="00E474A4"/>
    <w:rsid w:val="00E55DE3"/>
    <w:rsid w:val="00E614B7"/>
    <w:rsid w:val="00E62A4E"/>
    <w:rsid w:val="00E66C09"/>
    <w:rsid w:val="00E75951"/>
    <w:rsid w:val="00E75B1A"/>
    <w:rsid w:val="00E768FD"/>
    <w:rsid w:val="00E76E47"/>
    <w:rsid w:val="00E77486"/>
    <w:rsid w:val="00E80E98"/>
    <w:rsid w:val="00E83C20"/>
    <w:rsid w:val="00E84E3A"/>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0DA4"/>
    <w:rsid w:val="00F313A7"/>
    <w:rsid w:val="00F428A2"/>
    <w:rsid w:val="00F458C7"/>
    <w:rsid w:val="00F72B6E"/>
    <w:rsid w:val="00F91C79"/>
    <w:rsid w:val="00F93579"/>
    <w:rsid w:val="00FA2F88"/>
    <w:rsid w:val="00FA6253"/>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9774F1"/>
    <w:pPr>
      <w:spacing w:after="0" w:line="240" w:lineRule="auto"/>
    </w:pPr>
    <w:rPr>
      <w:rFonts w:ascii="Times New Roman" w:eastAsia="Times New Roman" w:hAnsi="Times New Roman" w:cs="Times New Roman"/>
      <w:sz w:val="20"/>
      <w:szCs w:val="20"/>
    </w:rPr>
  </w:style>
  <w:style w:type="character" w:customStyle="1" w:styleId="A5">
    <w:name w:val="A5"/>
    <w:uiPriority w:val="99"/>
    <w:rsid w:val="00AC649D"/>
    <w:rPr>
      <w:rFonts w:cs="Open San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6268</Words>
  <Characters>35731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28</cp:revision>
  <cp:lastPrinted>2025-02-14T20:06:00Z</cp:lastPrinted>
  <dcterms:created xsi:type="dcterms:W3CDTF">2023-10-03T19:24:00Z</dcterms:created>
  <dcterms:modified xsi:type="dcterms:W3CDTF">2025-02-14T20:07:00Z</dcterms:modified>
</cp:coreProperties>
</file>